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C99"/>
  <w:body>
    <w:p w:rsidR="006B0319" w:rsidRPr="00717540" w:rsidRDefault="006B0319" w:rsidP="00717540">
      <w:pPr>
        <w:pStyle w:val="Textoindependiente"/>
        <w:ind w:hanging="27"/>
        <w:jc w:val="center"/>
        <w:outlineLvl w:val="0"/>
        <w:rPr>
          <w:rFonts w:ascii="Arial" w:hAnsi="Arial" w:cs="Arial"/>
          <w:sz w:val="22"/>
          <w:szCs w:val="22"/>
        </w:rPr>
      </w:pPr>
      <w:r w:rsidRPr="00717540">
        <w:rPr>
          <w:rFonts w:ascii="Arial" w:hAnsi="Arial" w:cs="Arial"/>
          <w:sz w:val="22"/>
          <w:szCs w:val="22"/>
        </w:rPr>
        <w:t>ANEXO</w:t>
      </w:r>
    </w:p>
    <w:p w:rsidR="006B0319" w:rsidRPr="00717540" w:rsidRDefault="006B0319" w:rsidP="001419DB">
      <w:pPr>
        <w:ind w:firstLine="720"/>
        <w:jc w:val="both"/>
        <w:rPr>
          <w:rFonts w:ascii="Arial" w:eastAsia="Times New Roman" w:hAnsi="Arial" w:cs="Arial"/>
          <w:spacing w:val="20"/>
          <w:sz w:val="22"/>
          <w:szCs w:val="22"/>
          <w:lang w:val="es-ES"/>
        </w:rPr>
      </w:pPr>
    </w:p>
    <w:p w:rsidR="00717540" w:rsidRDefault="006B0319" w:rsidP="001419DB">
      <w:pPr>
        <w:ind w:firstLine="720"/>
        <w:jc w:val="both"/>
        <w:rPr>
          <w:rFonts w:ascii="Arial" w:eastAsia="Times New Roman" w:hAnsi="Arial" w:cs="Arial"/>
          <w:i/>
          <w:spacing w:val="20"/>
          <w:sz w:val="22"/>
          <w:szCs w:val="22"/>
          <w:lang w:val="es-ES"/>
        </w:rPr>
      </w:pPr>
      <w:r w:rsidRPr="00717540">
        <w:rPr>
          <w:rFonts w:ascii="Arial" w:eastAsia="Times New Roman" w:hAnsi="Arial" w:cs="Arial"/>
          <w:spacing w:val="20"/>
          <w:sz w:val="22"/>
          <w:szCs w:val="22"/>
          <w:lang w:val="es-ES"/>
        </w:rPr>
        <w:t xml:space="preserve">Artículo único. </w:t>
      </w:r>
      <w:r w:rsidRPr="00717540">
        <w:rPr>
          <w:rFonts w:ascii="Arial" w:eastAsia="Times New Roman" w:hAnsi="Arial" w:cs="Arial"/>
          <w:i/>
          <w:spacing w:val="20"/>
          <w:sz w:val="22"/>
          <w:szCs w:val="22"/>
          <w:lang w:val="es-ES"/>
        </w:rPr>
        <w:t xml:space="preserve">Modificación de la Ordenanza </w:t>
      </w:r>
      <w:r w:rsidR="0048001A" w:rsidRPr="00717540">
        <w:rPr>
          <w:rFonts w:ascii="Arial" w:eastAsia="Times New Roman" w:hAnsi="Arial" w:cs="Arial"/>
          <w:i/>
          <w:spacing w:val="20"/>
          <w:sz w:val="22"/>
          <w:szCs w:val="22"/>
          <w:lang w:val="es-ES"/>
        </w:rPr>
        <w:t>F</w:t>
      </w:r>
      <w:r w:rsidR="00BB1F47" w:rsidRPr="00717540">
        <w:rPr>
          <w:rFonts w:ascii="Arial" w:eastAsia="Times New Roman" w:hAnsi="Arial" w:cs="Arial"/>
          <w:i/>
          <w:spacing w:val="20"/>
          <w:sz w:val="22"/>
          <w:szCs w:val="22"/>
          <w:lang w:val="es-ES"/>
        </w:rPr>
        <w:t>iscal</w:t>
      </w:r>
      <w:r w:rsidR="00771712">
        <w:rPr>
          <w:rFonts w:ascii="Arial" w:eastAsia="Times New Roman" w:hAnsi="Arial" w:cs="Arial"/>
          <w:i/>
          <w:spacing w:val="20"/>
          <w:sz w:val="22"/>
          <w:szCs w:val="22"/>
          <w:lang w:val="es-ES"/>
        </w:rPr>
        <w:t xml:space="preserve"> reguladora de</w:t>
      </w:r>
      <w:r w:rsidR="009B54C5">
        <w:rPr>
          <w:rFonts w:ascii="Arial" w:eastAsia="Times New Roman" w:hAnsi="Arial" w:cs="Arial"/>
          <w:i/>
          <w:spacing w:val="20"/>
          <w:sz w:val="22"/>
          <w:szCs w:val="22"/>
          <w:lang w:val="es-ES"/>
        </w:rPr>
        <w:t xml:space="preserve"> la Tasa por Prestación de Servicios </w:t>
      </w:r>
      <w:r w:rsidR="002C5F57">
        <w:rPr>
          <w:rFonts w:ascii="Arial" w:eastAsia="Times New Roman" w:hAnsi="Arial" w:cs="Arial"/>
          <w:i/>
          <w:spacing w:val="20"/>
          <w:sz w:val="22"/>
          <w:szCs w:val="22"/>
          <w:lang w:val="es-ES"/>
        </w:rPr>
        <w:t>en Galerías Municipales</w:t>
      </w:r>
      <w:r w:rsidR="0012214D">
        <w:rPr>
          <w:rFonts w:ascii="Arial" w:eastAsia="Times New Roman" w:hAnsi="Arial" w:cs="Arial"/>
          <w:i/>
          <w:spacing w:val="20"/>
          <w:sz w:val="22"/>
          <w:szCs w:val="22"/>
          <w:lang w:val="es-ES"/>
        </w:rPr>
        <w:t>.</w:t>
      </w:r>
    </w:p>
    <w:p w:rsidR="0012214D" w:rsidRPr="00717540" w:rsidRDefault="0012214D" w:rsidP="001419DB">
      <w:pPr>
        <w:ind w:firstLine="720"/>
        <w:jc w:val="both"/>
        <w:rPr>
          <w:rFonts w:ascii="Arial" w:eastAsia="Times New Roman" w:hAnsi="Arial" w:cs="Arial"/>
          <w:i/>
          <w:spacing w:val="20"/>
          <w:sz w:val="22"/>
          <w:szCs w:val="22"/>
          <w:lang w:val="es-ES"/>
        </w:rPr>
      </w:pPr>
    </w:p>
    <w:p w:rsidR="006B0319" w:rsidRDefault="006B0319" w:rsidP="001419DB">
      <w:pPr>
        <w:ind w:firstLine="720"/>
        <w:jc w:val="both"/>
        <w:rPr>
          <w:rFonts w:ascii="Arial" w:eastAsia="Times New Roman" w:hAnsi="Arial" w:cs="Arial"/>
          <w:spacing w:val="20"/>
          <w:sz w:val="22"/>
          <w:szCs w:val="22"/>
          <w:lang w:val="es-ES"/>
        </w:rPr>
      </w:pPr>
      <w:r w:rsidRPr="009B54C5">
        <w:rPr>
          <w:rFonts w:ascii="Arial" w:eastAsia="Times New Roman" w:hAnsi="Arial" w:cs="Arial"/>
          <w:spacing w:val="20"/>
          <w:sz w:val="22"/>
          <w:szCs w:val="22"/>
          <w:lang w:val="es-ES"/>
        </w:rPr>
        <w:t xml:space="preserve">La Ordenanza </w:t>
      </w:r>
      <w:r w:rsidR="0048001A" w:rsidRPr="009B54C5">
        <w:rPr>
          <w:rFonts w:ascii="Arial" w:eastAsia="Times New Roman" w:hAnsi="Arial" w:cs="Arial"/>
          <w:spacing w:val="20"/>
          <w:sz w:val="22"/>
          <w:szCs w:val="22"/>
          <w:lang w:val="es-ES"/>
        </w:rPr>
        <w:t>Fi</w:t>
      </w:r>
      <w:r w:rsidR="004A6396" w:rsidRPr="009B54C5">
        <w:rPr>
          <w:rFonts w:ascii="Arial" w:eastAsia="Times New Roman" w:hAnsi="Arial" w:cs="Arial"/>
          <w:spacing w:val="20"/>
          <w:sz w:val="22"/>
          <w:szCs w:val="22"/>
          <w:lang w:val="es-ES"/>
        </w:rPr>
        <w:t xml:space="preserve">scal </w:t>
      </w:r>
      <w:r w:rsidR="002C7186" w:rsidRPr="009B54C5">
        <w:rPr>
          <w:rFonts w:ascii="Arial" w:eastAsia="Times New Roman" w:hAnsi="Arial" w:cs="Arial"/>
          <w:spacing w:val="20"/>
          <w:sz w:val="22"/>
          <w:szCs w:val="22"/>
          <w:lang w:val="es-ES"/>
        </w:rPr>
        <w:t xml:space="preserve">reguladora </w:t>
      </w:r>
      <w:r w:rsidR="00771712" w:rsidRPr="009B54C5">
        <w:rPr>
          <w:rFonts w:ascii="Arial" w:eastAsia="Times New Roman" w:hAnsi="Arial" w:cs="Arial"/>
          <w:spacing w:val="20"/>
          <w:sz w:val="22"/>
          <w:szCs w:val="22"/>
          <w:lang w:val="es-ES"/>
        </w:rPr>
        <w:t xml:space="preserve">de </w:t>
      </w:r>
      <w:r w:rsidR="009B54C5" w:rsidRPr="009B54C5">
        <w:rPr>
          <w:rFonts w:ascii="Arial" w:eastAsia="Times New Roman" w:hAnsi="Arial" w:cs="Arial"/>
          <w:spacing w:val="20"/>
          <w:sz w:val="22"/>
          <w:szCs w:val="22"/>
          <w:lang w:val="es-ES"/>
        </w:rPr>
        <w:t xml:space="preserve">la Tasa por Prestación de Servicios </w:t>
      </w:r>
      <w:r w:rsidR="002C5F57">
        <w:rPr>
          <w:rFonts w:ascii="Arial" w:eastAsia="Times New Roman" w:hAnsi="Arial" w:cs="Arial"/>
          <w:spacing w:val="20"/>
          <w:sz w:val="22"/>
          <w:szCs w:val="22"/>
          <w:lang w:val="es-ES"/>
        </w:rPr>
        <w:t>en Galerías Municipales</w:t>
      </w:r>
      <w:r w:rsidR="009B54C5" w:rsidRPr="009B54C5">
        <w:rPr>
          <w:rFonts w:ascii="Arial" w:eastAsia="Times New Roman" w:hAnsi="Arial" w:cs="Arial"/>
          <w:spacing w:val="20"/>
          <w:sz w:val="22"/>
          <w:szCs w:val="22"/>
          <w:lang w:val="es-ES"/>
        </w:rPr>
        <w:t xml:space="preserve"> </w:t>
      </w:r>
      <w:r w:rsidRPr="009B54C5">
        <w:rPr>
          <w:rFonts w:ascii="Arial" w:eastAsia="Times New Roman" w:hAnsi="Arial" w:cs="Arial"/>
          <w:spacing w:val="20"/>
          <w:sz w:val="22"/>
          <w:szCs w:val="22"/>
          <w:lang w:val="es-ES"/>
        </w:rPr>
        <w:t>queda modificada como sigue:</w:t>
      </w:r>
    </w:p>
    <w:p w:rsidR="00F720B5" w:rsidRDefault="00F720B5" w:rsidP="001419DB">
      <w:pPr>
        <w:ind w:firstLine="720"/>
        <w:jc w:val="both"/>
        <w:rPr>
          <w:rFonts w:ascii="Arial" w:eastAsia="Times New Roman" w:hAnsi="Arial" w:cs="Arial"/>
          <w:spacing w:val="20"/>
          <w:sz w:val="22"/>
          <w:szCs w:val="22"/>
          <w:lang w:val="es-ES"/>
        </w:rPr>
      </w:pPr>
    </w:p>
    <w:p w:rsidR="00F720B5" w:rsidRDefault="00F720B5" w:rsidP="00F720B5">
      <w:pPr>
        <w:ind w:firstLine="720"/>
        <w:jc w:val="both"/>
        <w:rPr>
          <w:rFonts w:ascii="Arial" w:eastAsia="Times New Roman" w:hAnsi="Arial" w:cs="Arial"/>
          <w:spacing w:val="20"/>
          <w:sz w:val="22"/>
          <w:szCs w:val="22"/>
          <w:lang w:val="es-ES"/>
        </w:rPr>
      </w:pPr>
      <w:r w:rsidRPr="00717540">
        <w:rPr>
          <w:rFonts w:ascii="Arial" w:eastAsia="Times New Roman" w:hAnsi="Arial" w:cs="Arial"/>
          <w:spacing w:val="20"/>
          <w:sz w:val="22"/>
          <w:szCs w:val="22"/>
          <w:lang w:val="es-ES"/>
        </w:rPr>
        <w:t xml:space="preserve">Uno. Se modifica </w:t>
      </w:r>
      <w:r>
        <w:rPr>
          <w:rFonts w:ascii="Arial" w:eastAsia="Times New Roman" w:hAnsi="Arial" w:cs="Arial"/>
          <w:spacing w:val="20"/>
          <w:sz w:val="22"/>
          <w:szCs w:val="22"/>
          <w:lang w:val="es-ES"/>
        </w:rPr>
        <w:t>el artículo 1, que queda redactado del siguiente modo:</w:t>
      </w:r>
      <w:r w:rsidRPr="00717540">
        <w:rPr>
          <w:rFonts w:ascii="Arial" w:eastAsia="Times New Roman" w:hAnsi="Arial" w:cs="Arial"/>
          <w:spacing w:val="20"/>
          <w:sz w:val="22"/>
          <w:szCs w:val="22"/>
          <w:lang w:val="es-ES"/>
        </w:rPr>
        <w:t xml:space="preserve"> </w:t>
      </w:r>
    </w:p>
    <w:p w:rsidR="00F720B5" w:rsidRDefault="00F720B5" w:rsidP="00F720B5">
      <w:pPr>
        <w:ind w:firstLine="720"/>
        <w:jc w:val="both"/>
        <w:rPr>
          <w:rFonts w:ascii="Arial" w:eastAsia="Times New Roman" w:hAnsi="Arial" w:cs="Arial"/>
          <w:spacing w:val="20"/>
          <w:sz w:val="22"/>
          <w:szCs w:val="22"/>
          <w:lang w:val="es-ES"/>
        </w:rPr>
      </w:pPr>
    </w:p>
    <w:p w:rsidR="00F720B5" w:rsidRDefault="00C53DC2" w:rsidP="00C54C00">
      <w:pPr>
        <w:ind w:left="709" w:firstLine="709"/>
        <w:jc w:val="both"/>
        <w:rPr>
          <w:rFonts w:ascii="Arial" w:eastAsia="Times New Roman" w:hAnsi="Arial" w:cs="Arial"/>
          <w:sz w:val="22"/>
          <w:szCs w:val="22"/>
          <w:lang w:val="es-ES"/>
        </w:rPr>
      </w:pPr>
      <w:r>
        <w:rPr>
          <w:rFonts w:ascii="Arial" w:eastAsia="Times New Roman" w:hAnsi="Arial" w:cs="Arial"/>
          <w:sz w:val="22"/>
          <w:szCs w:val="22"/>
          <w:lang w:val="es-ES"/>
        </w:rPr>
        <w:t xml:space="preserve">«Artículo 1. </w:t>
      </w:r>
      <w:r w:rsidRPr="00C53DC2">
        <w:rPr>
          <w:rFonts w:ascii="Arial" w:eastAsia="Times New Roman" w:hAnsi="Arial" w:cs="Arial"/>
          <w:sz w:val="22"/>
          <w:szCs w:val="22"/>
          <w:lang w:val="es-ES"/>
        </w:rPr>
        <w:t>En uso de las facultades concedidas por los artículos 4 y 106 de la Ley 7/1985, de 2 de abril, reguladora de las Bases de Régimen Local y de conformidad con lo dispuesto en los artículos 15 a 19 del texto refundido de la Ley reguladora de las Haciendas Locales, aprobado por Real Decreto Legislativo 2/2004, de 5 de marzo, se establece la Tasa por prestación de servicios de galerías de mantenimiento municipal que se regirá por la presente ordenanza fiscal, cuyas normas atienden a lo prevenido en los artículos 20 y siguientes del citado texto refundido</w:t>
      </w:r>
      <w:r>
        <w:rPr>
          <w:rFonts w:ascii="Arial" w:eastAsia="Times New Roman" w:hAnsi="Arial" w:cs="Arial"/>
          <w:bCs/>
          <w:sz w:val="22"/>
          <w:szCs w:val="22"/>
          <w:lang w:val="es-ES"/>
        </w:rPr>
        <w:t>»</w:t>
      </w:r>
      <w:r w:rsidRPr="00C53DC2">
        <w:rPr>
          <w:rFonts w:ascii="Arial" w:eastAsia="Times New Roman" w:hAnsi="Arial" w:cs="Arial"/>
          <w:sz w:val="22"/>
          <w:szCs w:val="22"/>
          <w:lang w:val="es-ES"/>
        </w:rPr>
        <w:t>.</w:t>
      </w:r>
    </w:p>
    <w:p w:rsidR="00C54C00" w:rsidRDefault="00C54C00" w:rsidP="00C54C00">
      <w:pPr>
        <w:ind w:left="709" w:firstLine="709"/>
        <w:jc w:val="both"/>
        <w:rPr>
          <w:rFonts w:ascii="Arial" w:eastAsia="Times New Roman" w:hAnsi="Arial" w:cs="Arial"/>
          <w:sz w:val="22"/>
          <w:szCs w:val="22"/>
          <w:lang w:val="es-ES"/>
        </w:rPr>
      </w:pPr>
    </w:p>
    <w:p w:rsidR="00C54C00" w:rsidRDefault="00C54C00" w:rsidP="00C54C00">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Dos</w:t>
      </w:r>
      <w:r w:rsidRPr="00717540">
        <w:rPr>
          <w:rFonts w:ascii="Arial" w:eastAsia="Times New Roman" w:hAnsi="Arial" w:cs="Arial"/>
          <w:spacing w:val="20"/>
          <w:sz w:val="22"/>
          <w:szCs w:val="22"/>
          <w:lang w:val="es-ES"/>
        </w:rPr>
        <w:t xml:space="preserve">. Se modifica </w:t>
      </w:r>
      <w:r w:rsidRPr="00620B61">
        <w:rPr>
          <w:rFonts w:ascii="Arial" w:eastAsia="Times New Roman" w:hAnsi="Arial" w:cs="Arial"/>
          <w:spacing w:val="20"/>
          <w:sz w:val="22"/>
          <w:szCs w:val="22"/>
          <w:lang w:val="es-ES"/>
        </w:rPr>
        <w:t>el artículo 2, que queda</w:t>
      </w:r>
      <w:r>
        <w:rPr>
          <w:rFonts w:ascii="Arial" w:eastAsia="Times New Roman" w:hAnsi="Arial" w:cs="Arial"/>
          <w:spacing w:val="20"/>
          <w:sz w:val="22"/>
          <w:szCs w:val="22"/>
          <w:lang w:val="es-ES"/>
        </w:rPr>
        <w:t xml:space="preserve"> redactado del siguiente modo:</w:t>
      </w:r>
      <w:r w:rsidRPr="00717540">
        <w:rPr>
          <w:rFonts w:ascii="Arial" w:eastAsia="Times New Roman" w:hAnsi="Arial" w:cs="Arial"/>
          <w:spacing w:val="20"/>
          <w:sz w:val="22"/>
          <w:szCs w:val="22"/>
          <w:lang w:val="es-ES"/>
        </w:rPr>
        <w:t xml:space="preserve"> </w:t>
      </w:r>
    </w:p>
    <w:p w:rsidR="00C54C00" w:rsidRDefault="00C54C00" w:rsidP="00C54C00">
      <w:pPr>
        <w:ind w:left="709" w:firstLine="709"/>
        <w:jc w:val="both"/>
        <w:rPr>
          <w:rFonts w:ascii="Arial" w:eastAsia="Times New Roman" w:hAnsi="Arial" w:cs="Arial"/>
          <w:spacing w:val="20"/>
          <w:sz w:val="22"/>
          <w:szCs w:val="22"/>
          <w:lang w:val="es-ES"/>
        </w:rPr>
      </w:pPr>
    </w:p>
    <w:p w:rsidR="00C54C00" w:rsidRDefault="00C54C00" w:rsidP="00C54C00">
      <w:pPr>
        <w:ind w:left="709" w:firstLine="709"/>
        <w:jc w:val="both"/>
        <w:rPr>
          <w:rFonts w:ascii="Arial" w:eastAsia="Times New Roman" w:hAnsi="Arial" w:cs="Arial"/>
          <w:sz w:val="22"/>
          <w:szCs w:val="22"/>
          <w:lang w:val="es-ES"/>
        </w:rPr>
      </w:pPr>
      <w:r>
        <w:rPr>
          <w:rFonts w:ascii="Arial" w:eastAsia="Times New Roman" w:hAnsi="Arial" w:cs="Arial"/>
          <w:sz w:val="22"/>
          <w:szCs w:val="22"/>
          <w:lang w:val="es-ES"/>
        </w:rPr>
        <w:t xml:space="preserve">«Artículo 2.1.  </w:t>
      </w:r>
      <w:r w:rsidRPr="00C54C00">
        <w:rPr>
          <w:rFonts w:ascii="Arial" w:eastAsia="Times New Roman" w:hAnsi="Arial" w:cs="Arial"/>
          <w:sz w:val="22"/>
          <w:szCs w:val="22"/>
          <w:lang w:val="es-ES"/>
        </w:rPr>
        <w:t>Constituye el hecho imponible de la tasa, la prestación de los servicios municipales consistentes en la vigilancia, conservación, reparación, replanteo, visitas y cualesquiera otros que se desarrollen en las galerías municipales y que afecten a los usuarios de las mismas.</w:t>
      </w:r>
    </w:p>
    <w:p w:rsidR="00C54C00" w:rsidRDefault="00C54C00" w:rsidP="00C54C00">
      <w:pPr>
        <w:ind w:left="709" w:firstLine="709"/>
        <w:jc w:val="both"/>
        <w:rPr>
          <w:rFonts w:ascii="Arial" w:eastAsia="Times New Roman" w:hAnsi="Arial" w:cs="Arial"/>
          <w:bCs/>
          <w:sz w:val="22"/>
          <w:szCs w:val="22"/>
          <w:lang w:val="es-ES"/>
        </w:rPr>
      </w:pPr>
      <w:r w:rsidRPr="00C54C00">
        <w:rPr>
          <w:rFonts w:ascii="Arial" w:eastAsia="Times New Roman" w:hAnsi="Arial" w:cs="Arial"/>
          <w:bCs/>
          <w:sz w:val="22"/>
          <w:szCs w:val="22"/>
          <w:lang w:val="es-ES"/>
        </w:rPr>
        <w:t xml:space="preserve">A los efectos anteriores, los servicios de vigilancia, conservación y </w:t>
      </w:r>
      <w:r w:rsidR="005E0FA5">
        <w:rPr>
          <w:rFonts w:ascii="Arial" w:eastAsia="Times New Roman" w:hAnsi="Arial" w:cs="Arial"/>
          <w:bCs/>
          <w:sz w:val="22"/>
          <w:szCs w:val="22"/>
          <w:lang w:val="es-ES"/>
        </w:rPr>
        <w:t>reparación</w:t>
      </w:r>
      <w:r w:rsidRPr="00C54C00">
        <w:rPr>
          <w:rFonts w:ascii="Arial" w:eastAsia="Times New Roman" w:hAnsi="Arial" w:cs="Arial"/>
          <w:bCs/>
          <w:sz w:val="22"/>
          <w:szCs w:val="22"/>
          <w:lang w:val="es-ES"/>
        </w:rPr>
        <w:t xml:space="preserve"> tienen carácter periódico y afectan a la totalidad de los elementos instalados en el interior de las galerías municipales.</w:t>
      </w:r>
    </w:p>
    <w:p w:rsidR="00C54C00" w:rsidRDefault="00C54C00" w:rsidP="00C54C00">
      <w:pPr>
        <w:ind w:left="709" w:firstLine="709"/>
        <w:jc w:val="both"/>
        <w:rPr>
          <w:rFonts w:ascii="Arial" w:eastAsia="Times New Roman" w:hAnsi="Arial" w:cs="Arial"/>
          <w:bCs/>
          <w:sz w:val="22"/>
          <w:szCs w:val="22"/>
          <w:lang w:val="es-ES"/>
        </w:rPr>
      </w:pPr>
      <w:r w:rsidRPr="00C54C00">
        <w:rPr>
          <w:rFonts w:ascii="Arial" w:eastAsia="Times New Roman" w:hAnsi="Arial" w:cs="Arial"/>
          <w:bCs/>
          <w:sz w:val="22"/>
          <w:szCs w:val="22"/>
          <w:lang w:val="es-ES"/>
        </w:rPr>
        <w:t>Los servicios de replanteo y visitas se prestan por el Ayuntamiento de Madrid a solicitud de los usuarios de las galerías.</w:t>
      </w:r>
    </w:p>
    <w:p w:rsidR="00C54C00" w:rsidRPr="00995EDE" w:rsidRDefault="00C54C00" w:rsidP="00995EDE">
      <w:pPr>
        <w:ind w:left="709" w:firstLine="709"/>
        <w:jc w:val="both"/>
        <w:rPr>
          <w:rFonts w:ascii="Arial" w:eastAsia="Times New Roman" w:hAnsi="Arial" w:cs="Arial"/>
          <w:bCs/>
          <w:sz w:val="22"/>
          <w:szCs w:val="22"/>
          <w:lang w:val="es-ES"/>
        </w:rPr>
      </w:pPr>
      <w:r>
        <w:rPr>
          <w:rFonts w:ascii="Arial" w:eastAsia="Times New Roman" w:hAnsi="Arial" w:cs="Arial"/>
          <w:bCs/>
          <w:sz w:val="22"/>
          <w:szCs w:val="22"/>
          <w:lang w:val="es-ES"/>
        </w:rPr>
        <w:t xml:space="preserve">2. </w:t>
      </w:r>
      <w:r w:rsidRPr="00C54C00">
        <w:rPr>
          <w:rFonts w:ascii="Arial" w:eastAsia="Times New Roman" w:hAnsi="Arial" w:cs="Arial"/>
          <w:bCs/>
          <w:sz w:val="22"/>
          <w:szCs w:val="22"/>
          <w:lang w:val="es-ES"/>
        </w:rPr>
        <w:t>La exacción de esta tasa es, en todo caso, compatible con la exigencia de las tasas por la utilización privativa o aprovechamiento especial del dominio público local, se satisfagan éstas con carácter singular o, globalmente, mediante el pago de un porcentaje sobre los ingresos brutos anuales, en el caso de las empresas explotadoras de servici</w:t>
      </w:r>
      <w:r w:rsidR="00995EDE">
        <w:rPr>
          <w:rFonts w:ascii="Arial" w:eastAsia="Times New Roman" w:hAnsi="Arial" w:cs="Arial"/>
          <w:bCs/>
          <w:sz w:val="22"/>
          <w:szCs w:val="22"/>
          <w:lang w:val="es-ES"/>
        </w:rPr>
        <w:t>os de suministros</w:t>
      </w:r>
      <w:r>
        <w:rPr>
          <w:rFonts w:ascii="Arial" w:eastAsia="Times New Roman" w:hAnsi="Arial" w:cs="Arial"/>
          <w:bCs/>
          <w:sz w:val="22"/>
          <w:szCs w:val="22"/>
          <w:lang w:val="es-ES"/>
        </w:rPr>
        <w:t>»</w:t>
      </w:r>
      <w:r w:rsidR="00995EDE">
        <w:rPr>
          <w:rFonts w:ascii="Arial" w:eastAsia="Times New Roman" w:hAnsi="Arial" w:cs="Arial"/>
          <w:bCs/>
          <w:sz w:val="22"/>
          <w:szCs w:val="22"/>
          <w:lang w:val="es-ES"/>
        </w:rPr>
        <w:t>.</w:t>
      </w:r>
    </w:p>
    <w:p w:rsidR="00C54C00" w:rsidRDefault="00C54C00" w:rsidP="00C54C00">
      <w:pPr>
        <w:ind w:left="709" w:firstLine="709"/>
        <w:jc w:val="both"/>
        <w:rPr>
          <w:rFonts w:ascii="Arial" w:eastAsia="Times New Roman" w:hAnsi="Arial" w:cs="Arial"/>
          <w:sz w:val="22"/>
          <w:szCs w:val="22"/>
          <w:lang w:val="es-ES"/>
        </w:rPr>
      </w:pPr>
    </w:p>
    <w:p w:rsidR="00C54C00" w:rsidRDefault="00C54C00" w:rsidP="00C54C00">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Tres</w:t>
      </w:r>
      <w:r w:rsidRPr="00717540">
        <w:rPr>
          <w:rFonts w:ascii="Arial" w:eastAsia="Times New Roman" w:hAnsi="Arial" w:cs="Arial"/>
          <w:spacing w:val="20"/>
          <w:sz w:val="22"/>
          <w:szCs w:val="22"/>
          <w:lang w:val="es-ES"/>
        </w:rPr>
        <w:t xml:space="preserve">. Se modifica </w:t>
      </w:r>
      <w:r>
        <w:rPr>
          <w:rFonts w:ascii="Arial" w:eastAsia="Times New Roman" w:hAnsi="Arial" w:cs="Arial"/>
          <w:spacing w:val="20"/>
          <w:sz w:val="22"/>
          <w:szCs w:val="22"/>
          <w:lang w:val="es-ES"/>
        </w:rPr>
        <w:t>el artículo 3, que queda redactado del siguiente modo:</w:t>
      </w:r>
      <w:r w:rsidRPr="00717540">
        <w:rPr>
          <w:rFonts w:ascii="Arial" w:eastAsia="Times New Roman" w:hAnsi="Arial" w:cs="Arial"/>
          <w:spacing w:val="20"/>
          <w:sz w:val="22"/>
          <w:szCs w:val="22"/>
          <w:lang w:val="es-ES"/>
        </w:rPr>
        <w:t xml:space="preserve"> </w:t>
      </w:r>
    </w:p>
    <w:p w:rsidR="000B3D1D" w:rsidRDefault="000B3D1D" w:rsidP="00C54C00">
      <w:pPr>
        <w:ind w:firstLine="720"/>
        <w:jc w:val="both"/>
        <w:rPr>
          <w:rFonts w:ascii="Arial" w:eastAsia="Times New Roman" w:hAnsi="Arial" w:cs="Arial"/>
          <w:spacing w:val="20"/>
          <w:sz w:val="22"/>
          <w:szCs w:val="22"/>
          <w:lang w:val="es-ES"/>
        </w:rPr>
      </w:pPr>
    </w:p>
    <w:p w:rsidR="000B3D1D" w:rsidRDefault="000B3D1D" w:rsidP="000B3D1D">
      <w:pPr>
        <w:ind w:left="709" w:firstLine="709"/>
        <w:jc w:val="both"/>
        <w:rPr>
          <w:rFonts w:ascii="Arial" w:eastAsia="Times New Roman" w:hAnsi="Arial" w:cs="Arial"/>
          <w:sz w:val="22"/>
          <w:szCs w:val="22"/>
          <w:lang w:val="es-ES"/>
        </w:rPr>
      </w:pPr>
      <w:r>
        <w:rPr>
          <w:rFonts w:ascii="Arial" w:eastAsia="Times New Roman" w:hAnsi="Arial" w:cs="Arial"/>
          <w:sz w:val="22"/>
          <w:szCs w:val="22"/>
          <w:lang w:val="es-ES"/>
        </w:rPr>
        <w:t>«Artículo 3.</w:t>
      </w:r>
      <w:r w:rsidR="00C249EF">
        <w:rPr>
          <w:rFonts w:ascii="Arial" w:eastAsia="Times New Roman" w:hAnsi="Arial" w:cs="Arial"/>
          <w:sz w:val="22"/>
          <w:szCs w:val="22"/>
          <w:lang w:val="es-ES"/>
        </w:rPr>
        <w:t>1.</w:t>
      </w:r>
      <w:r>
        <w:rPr>
          <w:rFonts w:ascii="Arial" w:eastAsia="Times New Roman" w:hAnsi="Arial" w:cs="Arial"/>
          <w:sz w:val="22"/>
          <w:szCs w:val="22"/>
          <w:lang w:val="es-ES"/>
        </w:rPr>
        <w:t xml:space="preserve"> </w:t>
      </w:r>
      <w:r w:rsidRPr="000B3D1D">
        <w:rPr>
          <w:rFonts w:ascii="Arial" w:eastAsia="Times New Roman" w:hAnsi="Arial" w:cs="Arial"/>
          <w:sz w:val="22"/>
          <w:szCs w:val="22"/>
          <w:lang w:val="es-ES"/>
        </w:rPr>
        <w:t>Son sujetos pasivos de la tasa las personas físicas y jurídicas y las entidades a que se refiere el artículo 35.4 de la Ley 58/2003, de 17 de diciembre, General Tributaria, que sean usuarias de los servicios que se prestan en las galerías municipales.</w:t>
      </w:r>
    </w:p>
    <w:p w:rsidR="000B3D1D" w:rsidRDefault="000B3D1D" w:rsidP="000B3D1D">
      <w:pPr>
        <w:ind w:left="709" w:firstLine="709"/>
        <w:jc w:val="both"/>
        <w:rPr>
          <w:rFonts w:ascii="Arial" w:eastAsia="Times New Roman" w:hAnsi="Arial" w:cs="Arial"/>
          <w:sz w:val="22"/>
          <w:szCs w:val="22"/>
        </w:rPr>
      </w:pPr>
      <w:r w:rsidRPr="000B3D1D">
        <w:rPr>
          <w:rFonts w:ascii="Arial" w:eastAsia="Times New Roman" w:hAnsi="Arial" w:cs="Arial"/>
          <w:sz w:val="22"/>
          <w:szCs w:val="22"/>
        </w:rPr>
        <w:t>A los efectos anteriores, son usuarios de las galerías municipales los titulares de las tuberías, hilos conductores, cables o cualquier otro elemento que se instale.</w:t>
      </w:r>
    </w:p>
    <w:p w:rsidR="000B3D1D" w:rsidRDefault="00C249EF" w:rsidP="000B3D1D">
      <w:pPr>
        <w:ind w:left="709" w:firstLine="709"/>
        <w:jc w:val="both"/>
        <w:rPr>
          <w:rFonts w:ascii="Arial" w:eastAsia="Times New Roman" w:hAnsi="Arial" w:cs="Arial"/>
          <w:sz w:val="22"/>
          <w:szCs w:val="22"/>
          <w:lang w:val="es-ES"/>
        </w:rPr>
      </w:pPr>
      <w:r>
        <w:rPr>
          <w:rFonts w:ascii="Arial" w:eastAsia="Times New Roman" w:hAnsi="Arial" w:cs="Arial"/>
          <w:sz w:val="22"/>
          <w:szCs w:val="22"/>
        </w:rPr>
        <w:t xml:space="preserve">2. </w:t>
      </w:r>
      <w:r w:rsidR="000B3D1D" w:rsidRPr="000B3D1D">
        <w:rPr>
          <w:rFonts w:ascii="Arial" w:eastAsia="Times New Roman" w:hAnsi="Arial" w:cs="Arial"/>
          <w:sz w:val="22"/>
          <w:szCs w:val="22"/>
        </w:rPr>
        <w:t>Asimismo, se considerarán usuarios quienes soliciten la prestación de alguno de los servicios de visitas o replanteos</w:t>
      </w:r>
      <w:r w:rsidR="000B3D1D">
        <w:rPr>
          <w:rFonts w:ascii="Arial" w:eastAsia="Times New Roman" w:hAnsi="Arial" w:cs="Arial"/>
          <w:bCs/>
          <w:sz w:val="22"/>
          <w:szCs w:val="22"/>
          <w:lang w:val="es-ES"/>
        </w:rPr>
        <w:t>»</w:t>
      </w:r>
      <w:r w:rsidR="000B3D1D" w:rsidRPr="00C53DC2">
        <w:rPr>
          <w:rFonts w:ascii="Arial" w:eastAsia="Times New Roman" w:hAnsi="Arial" w:cs="Arial"/>
          <w:sz w:val="22"/>
          <w:szCs w:val="22"/>
          <w:lang w:val="es-ES"/>
        </w:rPr>
        <w:t>.</w:t>
      </w:r>
    </w:p>
    <w:p w:rsidR="00A55023" w:rsidRDefault="00A55023" w:rsidP="000B3D1D">
      <w:pPr>
        <w:ind w:left="709" w:firstLine="709"/>
        <w:jc w:val="both"/>
        <w:rPr>
          <w:rFonts w:ascii="Arial" w:eastAsia="Times New Roman" w:hAnsi="Arial" w:cs="Arial"/>
          <w:sz w:val="22"/>
          <w:szCs w:val="22"/>
          <w:lang w:val="es-ES"/>
        </w:rPr>
      </w:pPr>
    </w:p>
    <w:p w:rsidR="000B3D1D" w:rsidRDefault="000B3D1D" w:rsidP="000B3D1D">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Cuatro</w:t>
      </w:r>
      <w:r w:rsidRPr="00717540">
        <w:rPr>
          <w:rFonts w:ascii="Arial" w:eastAsia="Times New Roman" w:hAnsi="Arial" w:cs="Arial"/>
          <w:spacing w:val="20"/>
          <w:sz w:val="22"/>
          <w:szCs w:val="22"/>
          <w:lang w:val="es-ES"/>
        </w:rPr>
        <w:t xml:space="preserve">. Se modifica </w:t>
      </w:r>
      <w:r>
        <w:rPr>
          <w:rFonts w:ascii="Arial" w:eastAsia="Times New Roman" w:hAnsi="Arial" w:cs="Arial"/>
          <w:spacing w:val="20"/>
          <w:sz w:val="22"/>
          <w:szCs w:val="22"/>
          <w:lang w:val="es-ES"/>
        </w:rPr>
        <w:t xml:space="preserve">el artículo </w:t>
      </w:r>
      <w:r w:rsidR="00A55023">
        <w:rPr>
          <w:rFonts w:ascii="Arial" w:eastAsia="Times New Roman" w:hAnsi="Arial" w:cs="Arial"/>
          <w:spacing w:val="20"/>
          <w:sz w:val="22"/>
          <w:szCs w:val="22"/>
          <w:lang w:val="es-ES"/>
        </w:rPr>
        <w:t>4</w:t>
      </w:r>
      <w:r>
        <w:rPr>
          <w:rFonts w:ascii="Arial" w:eastAsia="Times New Roman" w:hAnsi="Arial" w:cs="Arial"/>
          <w:spacing w:val="20"/>
          <w:sz w:val="22"/>
          <w:szCs w:val="22"/>
          <w:lang w:val="es-ES"/>
        </w:rPr>
        <w:t>, que queda redactado del siguiente modo:</w:t>
      </w:r>
      <w:r w:rsidRPr="00717540">
        <w:rPr>
          <w:rFonts w:ascii="Arial" w:eastAsia="Times New Roman" w:hAnsi="Arial" w:cs="Arial"/>
          <w:spacing w:val="20"/>
          <w:sz w:val="22"/>
          <w:szCs w:val="22"/>
          <w:lang w:val="es-ES"/>
        </w:rPr>
        <w:t xml:space="preserve"> </w:t>
      </w:r>
    </w:p>
    <w:p w:rsidR="000B3D1D" w:rsidRDefault="000B3D1D" w:rsidP="000B3D1D">
      <w:pPr>
        <w:ind w:left="709" w:firstLine="709"/>
        <w:jc w:val="both"/>
        <w:rPr>
          <w:rFonts w:ascii="Arial" w:eastAsia="Times New Roman" w:hAnsi="Arial" w:cs="Arial"/>
          <w:sz w:val="22"/>
          <w:szCs w:val="22"/>
          <w:lang w:val="es-ES"/>
        </w:rPr>
      </w:pPr>
    </w:p>
    <w:p w:rsidR="000B3D1D" w:rsidRDefault="000B3D1D" w:rsidP="000B3D1D">
      <w:pPr>
        <w:ind w:left="709" w:firstLine="709"/>
        <w:jc w:val="both"/>
        <w:rPr>
          <w:rFonts w:ascii="Arial" w:eastAsia="Times New Roman" w:hAnsi="Arial" w:cs="Arial"/>
          <w:sz w:val="22"/>
          <w:szCs w:val="22"/>
          <w:lang w:val="es-ES"/>
        </w:rPr>
      </w:pPr>
      <w:r>
        <w:rPr>
          <w:rFonts w:ascii="Arial" w:eastAsia="Times New Roman" w:hAnsi="Arial" w:cs="Arial"/>
          <w:sz w:val="22"/>
          <w:szCs w:val="22"/>
          <w:lang w:val="es-ES"/>
        </w:rPr>
        <w:t xml:space="preserve">«Artículo 4.1. </w:t>
      </w:r>
      <w:r w:rsidRPr="000B3D1D">
        <w:rPr>
          <w:rFonts w:ascii="Arial" w:eastAsia="Times New Roman" w:hAnsi="Arial" w:cs="Arial"/>
          <w:sz w:val="22"/>
          <w:szCs w:val="22"/>
          <w:lang w:val="es-ES"/>
        </w:rPr>
        <w:t>Con carácter general, para los servicios de vigilancia, conservación y reparación, la tasa tiene carácter periódico y se devenga el primer día del período impositivo que coincide con el año natural, salvo en los supuestos de inicio o cese en la prestación del servicio, en cuyo caso el devengo se producirá cuando se inicie o cese el uso del servicio.</w:t>
      </w:r>
    </w:p>
    <w:p w:rsidR="000B3D1D" w:rsidRDefault="000B3D1D" w:rsidP="000B3D1D">
      <w:pPr>
        <w:ind w:left="709" w:firstLine="709"/>
        <w:jc w:val="both"/>
        <w:rPr>
          <w:rFonts w:ascii="Arial" w:eastAsia="Times New Roman" w:hAnsi="Arial" w:cs="Arial"/>
          <w:sz w:val="22"/>
          <w:szCs w:val="22"/>
        </w:rPr>
      </w:pPr>
      <w:r w:rsidRPr="000B3D1D">
        <w:rPr>
          <w:rFonts w:ascii="Arial" w:eastAsia="Times New Roman" w:hAnsi="Arial" w:cs="Arial"/>
          <w:sz w:val="22"/>
          <w:szCs w:val="22"/>
        </w:rPr>
        <w:lastRenderedPageBreak/>
        <w:t>En los casos en los que el período impositivo no coincida con el año natural, la cuota tributaria se prorrateará por semestres naturales.</w:t>
      </w:r>
    </w:p>
    <w:p w:rsidR="00C54C00" w:rsidRPr="000F40A3" w:rsidRDefault="000B3D1D" w:rsidP="000F40A3">
      <w:pPr>
        <w:ind w:left="709" w:firstLine="709"/>
        <w:jc w:val="both"/>
        <w:rPr>
          <w:rFonts w:ascii="Arial" w:eastAsia="Times New Roman" w:hAnsi="Arial" w:cs="Arial"/>
          <w:sz w:val="22"/>
          <w:szCs w:val="22"/>
        </w:rPr>
      </w:pPr>
      <w:r>
        <w:rPr>
          <w:rFonts w:ascii="Arial" w:eastAsia="Times New Roman" w:hAnsi="Arial" w:cs="Arial"/>
          <w:sz w:val="22"/>
          <w:szCs w:val="22"/>
        </w:rPr>
        <w:t xml:space="preserve">2. </w:t>
      </w:r>
      <w:r w:rsidRPr="000B3D1D">
        <w:rPr>
          <w:rFonts w:ascii="Arial" w:eastAsia="Times New Roman" w:hAnsi="Arial" w:cs="Arial"/>
          <w:sz w:val="22"/>
          <w:szCs w:val="22"/>
        </w:rPr>
        <w:t>Para los demás servicios realizados en las galerías municipales que no sean de prestación periódica, la tasa tendrá carácter instantáneo y se devengará en el momento en que se solicite la prestación de dicho servicio</w:t>
      </w:r>
      <w:r>
        <w:rPr>
          <w:rFonts w:ascii="Arial" w:eastAsia="Times New Roman" w:hAnsi="Arial" w:cs="Arial"/>
          <w:bCs/>
          <w:sz w:val="22"/>
          <w:szCs w:val="22"/>
          <w:lang w:val="es-ES"/>
        </w:rPr>
        <w:t>»</w:t>
      </w:r>
      <w:r w:rsidRPr="00C53DC2">
        <w:rPr>
          <w:rFonts w:ascii="Arial" w:eastAsia="Times New Roman" w:hAnsi="Arial" w:cs="Arial"/>
          <w:sz w:val="22"/>
          <w:szCs w:val="22"/>
          <w:lang w:val="es-ES"/>
        </w:rPr>
        <w:t>.</w:t>
      </w:r>
    </w:p>
    <w:p w:rsidR="000F40A3" w:rsidRPr="000F40A3" w:rsidRDefault="000F40A3" w:rsidP="00497D96">
      <w:pPr>
        <w:ind w:firstLine="720"/>
        <w:jc w:val="both"/>
        <w:rPr>
          <w:rFonts w:ascii="Arial" w:eastAsia="Times New Roman" w:hAnsi="Arial" w:cs="Arial"/>
          <w:spacing w:val="20"/>
          <w:sz w:val="22"/>
          <w:szCs w:val="22"/>
        </w:rPr>
      </w:pPr>
    </w:p>
    <w:p w:rsidR="00717540" w:rsidRDefault="00F720B5" w:rsidP="001419DB">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Cinco</w:t>
      </w:r>
      <w:r w:rsidR="008833E2" w:rsidRPr="00717540">
        <w:rPr>
          <w:rFonts w:ascii="Arial" w:eastAsia="Times New Roman" w:hAnsi="Arial" w:cs="Arial"/>
          <w:spacing w:val="20"/>
          <w:sz w:val="22"/>
          <w:szCs w:val="22"/>
          <w:lang w:val="es-ES"/>
        </w:rPr>
        <w:t>. Se</w:t>
      </w:r>
      <w:r w:rsidR="002F7520" w:rsidRPr="00717540">
        <w:rPr>
          <w:rFonts w:ascii="Arial" w:eastAsia="Times New Roman" w:hAnsi="Arial" w:cs="Arial"/>
          <w:spacing w:val="20"/>
          <w:sz w:val="22"/>
          <w:szCs w:val="22"/>
          <w:lang w:val="es-ES"/>
        </w:rPr>
        <w:t xml:space="preserve"> modifica </w:t>
      </w:r>
      <w:r w:rsidR="00907218">
        <w:rPr>
          <w:rFonts w:ascii="Arial" w:eastAsia="Times New Roman" w:hAnsi="Arial" w:cs="Arial"/>
          <w:spacing w:val="20"/>
          <w:sz w:val="22"/>
          <w:szCs w:val="22"/>
          <w:lang w:val="es-ES"/>
        </w:rPr>
        <w:t>el artículo 5</w:t>
      </w:r>
      <w:r w:rsidR="00541972">
        <w:rPr>
          <w:rFonts w:ascii="Arial" w:eastAsia="Times New Roman" w:hAnsi="Arial" w:cs="Arial"/>
          <w:spacing w:val="20"/>
          <w:sz w:val="22"/>
          <w:szCs w:val="22"/>
          <w:lang w:val="es-ES"/>
        </w:rPr>
        <w:t xml:space="preserve">, </w:t>
      </w:r>
      <w:r w:rsidR="00907218">
        <w:rPr>
          <w:rFonts w:ascii="Arial" w:eastAsia="Times New Roman" w:hAnsi="Arial" w:cs="Arial"/>
          <w:spacing w:val="20"/>
          <w:sz w:val="22"/>
          <w:szCs w:val="22"/>
          <w:lang w:val="es-ES"/>
        </w:rPr>
        <w:t>que queda redactado d</w:t>
      </w:r>
      <w:r w:rsidR="003A7094">
        <w:rPr>
          <w:rFonts w:ascii="Arial" w:eastAsia="Times New Roman" w:hAnsi="Arial" w:cs="Arial"/>
          <w:spacing w:val="20"/>
          <w:sz w:val="22"/>
          <w:szCs w:val="22"/>
          <w:lang w:val="es-ES"/>
        </w:rPr>
        <w:t>el siguiente modo:</w:t>
      </w:r>
      <w:r w:rsidR="00C1633C" w:rsidRPr="00717540">
        <w:rPr>
          <w:rFonts w:ascii="Arial" w:eastAsia="Times New Roman" w:hAnsi="Arial" w:cs="Arial"/>
          <w:spacing w:val="20"/>
          <w:sz w:val="22"/>
          <w:szCs w:val="22"/>
          <w:lang w:val="es-ES"/>
        </w:rPr>
        <w:t xml:space="preserve"> </w:t>
      </w:r>
    </w:p>
    <w:p w:rsidR="0088424B" w:rsidRDefault="0088424B" w:rsidP="0012214D">
      <w:pPr>
        <w:ind w:left="720" w:firstLine="720"/>
        <w:jc w:val="both"/>
        <w:rPr>
          <w:rFonts w:ascii="Arial" w:eastAsia="Times New Roman" w:hAnsi="Arial" w:cs="Arial"/>
          <w:sz w:val="22"/>
          <w:szCs w:val="22"/>
          <w:lang w:val="es-ES"/>
        </w:rPr>
      </w:pPr>
    </w:p>
    <w:p w:rsidR="00802037" w:rsidRDefault="00802037" w:rsidP="0012214D">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w:t>
      </w:r>
      <w:r w:rsidRPr="00802037">
        <w:rPr>
          <w:rFonts w:ascii="Arial" w:eastAsia="Times New Roman" w:hAnsi="Arial" w:cs="Arial"/>
          <w:sz w:val="22"/>
          <w:szCs w:val="22"/>
          <w:lang w:val="es-ES"/>
        </w:rPr>
        <w:t>Artículo 5.</w:t>
      </w:r>
      <w:r w:rsidR="00C64CC6">
        <w:rPr>
          <w:rFonts w:ascii="Arial" w:eastAsia="Times New Roman" w:hAnsi="Arial" w:cs="Arial"/>
          <w:sz w:val="22"/>
          <w:szCs w:val="22"/>
          <w:lang w:val="es-ES"/>
        </w:rPr>
        <w:t>1</w:t>
      </w:r>
      <w:r w:rsidRPr="00802037">
        <w:rPr>
          <w:rFonts w:ascii="Arial" w:eastAsia="Times New Roman" w:hAnsi="Arial" w:cs="Arial"/>
          <w:sz w:val="22"/>
          <w:szCs w:val="22"/>
          <w:lang w:val="es-ES"/>
        </w:rPr>
        <w:t xml:space="preserve"> </w:t>
      </w:r>
      <w:r w:rsidR="00907218" w:rsidRPr="00907218">
        <w:rPr>
          <w:rFonts w:ascii="Arial" w:eastAsia="Times New Roman" w:hAnsi="Arial" w:cs="Arial"/>
          <w:sz w:val="22"/>
          <w:szCs w:val="22"/>
          <w:lang w:val="es-ES"/>
        </w:rPr>
        <w:t>La cuota tributa</w:t>
      </w:r>
      <w:r w:rsidR="00907218" w:rsidRPr="001C71B9">
        <w:rPr>
          <w:rFonts w:ascii="Arial" w:eastAsia="Times New Roman" w:hAnsi="Arial" w:cs="Arial"/>
          <w:sz w:val="22"/>
          <w:szCs w:val="22"/>
          <w:lang w:val="es-ES"/>
        </w:rPr>
        <w:t>ria correspondiente a los servicios de vigilancia, conservación y reparación se determinará</w:t>
      </w:r>
      <w:r w:rsidR="00907218" w:rsidRPr="00907218">
        <w:rPr>
          <w:rFonts w:ascii="Arial" w:eastAsia="Times New Roman" w:hAnsi="Arial" w:cs="Arial"/>
          <w:sz w:val="22"/>
          <w:szCs w:val="22"/>
          <w:lang w:val="es-ES"/>
        </w:rPr>
        <w:t xml:space="preserve"> de acuerdo con la siguiente tarifa:</w:t>
      </w:r>
      <w:r w:rsidR="0051309E" w:rsidRPr="0051309E">
        <w:rPr>
          <w:rFonts w:ascii="Arial" w:eastAsia="Times New Roman" w:hAnsi="Arial" w:cs="Arial"/>
          <w:color w:val="FF0000"/>
          <w:sz w:val="22"/>
          <w:szCs w:val="22"/>
          <w:lang w:val="es-ES"/>
        </w:rPr>
        <w:t xml:space="preserve"> </w:t>
      </w:r>
    </w:p>
    <w:p w:rsidR="00907218" w:rsidRPr="0012214D" w:rsidRDefault="00907218" w:rsidP="0012214D">
      <w:pPr>
        <w:ind w:left="720" w:firstLine="720"/>
        <w:jc w:val="both"/>
        <w:rPr>
          <w:rFonts w:ascii="Arial" w:eastAsia="Times New Roman" w:hAnsi="Arial" w:cs="Arial"/>
          <w:sz w:val="22"/>
          <w:szCs w:val="22"/>
          <w:lang w:val="es-ES"/>
        </w:rPr>
      </w:pPr>
    </w:p>
    <w:tbl>
      <w:tblPr>
        <w:tblW w:w="8788" w:type="dxa"/>
        <w:jc w:val="center"/>
        <w:tblLayout w:type="fixed"/>
        <w:tblCellMar>
          <w:left w:w="70" w:type="dxa"/>
          <w:right w:w="70" w:type="dxa"/>
        </w:tblCellMar>
        <w:tblLook w:val="0000" w:firstRow="0" w:lastRow="0" w:firstColumn="0" w:lastColumn="0" w:noHBand="0" w:noVBand="0"/>
      </w:tblPr>
      <w:tblGrid>
        <w:gridCol w:w="7087"/>
        <w:gridCol w:w="1701"/>
      </w:tblGrid>
      <w:tr w:rsidR="00802037" w:rsidRPr="00802037" w:rsidTr="0051309E">
        <w:trPr>
          <w:trHeight w:val="175"/>
          <w:jc w:val="center"/>
        </w:trPr>
        <w:tc>
          <w:tcPr>
            <w:tcW w:w="7087" w:type="dxa"/>
          </w:tcPr>
          <w:p w:rsidR="00802037" w:rsidRPr="00802037" w:rsidRDefault="00802037" w:rsidP="00802037">
            <w:pPr>
              <w:ind w:left="720" w:firstLine="720"/>
              <w:jc w:val="both"/>
              <w:rPr>
                <w:rFonts w:ascii="Arial" w:eastAsia="Times New Roman" w:hAnsi="Arial" w:cs="Arial"/>
                <w:b/>
                <w:sz w:val="22"/>
                <w:szCs w:val="22"/>
                <w:u w:val="single"/>
                <w:lang w:val="es-ES"/>
              </w:rPr>
            </w:pPr>
          </w:p>
        </w:tc>
        <w:tc>
          <w:tcPr>
            <w:tcW w:w="1701" w:type="dxa"/>
          </w:tcPr>
          <w:p w:rsidR="00802037" w:rsidRPr="00D41D72" w:rsidRDefault="00907218" w:rsidP="004F2AF1">
            <w:pPr>
              <w:jc w:val="center"/>
              <w:rPr>
                <w:rFonts w:ascii="Arial" w:eastAsia="Times New Roman" w:hAnsi="Arial" w:cs="Arial"/>
                <w:sz w:val="22"/>
                <w:szCs w:val="22"/>
                <w:u w:val="single"/>
                <w:lang w:val="es-ES"/>
              </w:rPr>
            </w:pPr>
            <w:r w:rsidRPr="00D41D72">
              <w:rPr>
                <w:rFonts w:ascii="Arial" w:eastAsia="Times New Roman" w:hAnsi="Arial" w:cs="Arial"/>
                <w:sz w:val="22"/>
                <w:szCs w:val="22"/>
                <w:u w:val="single"/>
                <w:lang w:val="es-ES"/>
              </w:rPr>
              <w:t>Euros</w:t>
            </w:r>
          </w:p>
        </w:tc>
      </w:tr>
      <w:tr w:rsidR="00802037" w:rsidRPr="00802037" w:rsidTr="0051309E">
        <w:trPr>
          <w:trHeight w:val="302"/>
          <w:jc w:val="center"/>
        </w:trPr>
        <w:tc>
          <w:tcPr>
            <w:tcW w:w="7087" w:type="dxa"/>
          </w:tcPr>
          <w:p w:rsidR="00802037" w:rsidRPr="00620B61" w:rsidRDefault="00802037" w:rsidP="000739F6">
            <w:pPr>
              <w:ind w:firstLine="862"/>
              <w:jc w:val="both"/>
              <w:rPr>
                <w:rFonts w:ascii="Arial" w:eastAsia="Times New Roman" w:hAnsi="Arial" w:cs="Arial"/>
                <w:sz w:val="22"/>
                <w:szCs w:val="22"/>
                <w:lang w:val="es-ES"/>
              </w:rPr>
            </w:pPr>
            <w:r w:rsidRPr="000739F6">
              <w:rPr>
                <w:rFonts w:ascii="Arial" w:eastAsia="Times New Roman" w:hAnsi="Arial" w:cs="Arial"/>
                <w:bCs/>
                <w:sz w:val="22"/>
                <w:szCs w:val="22"/>
                <w:lang w:val="es-ES"/>
              </w:rPr>
              <w:t xml:space="preserve">Por cada metro lineal o fracción de tuberías, hilos </w:t>
            </w:r>
            <w:r w:rsidR="000739F6" w:rsidRPr="000739F6">
              <w:rPr>
                <w:rFonts w:ascii="Arial" w:eastAsia="Times New Roman" w:hAnsi="Arial" w:cs="Arial"/>
                <w:bCs/>
                <w:sz w:val="22"/>
                <w:szCs w:val="22"/>
                <w:lang w:val="es-ES"/>
              </w:rPr>
              <w:t>c</w:t>
            </w:r>
            <w:r w:rsidRPr="000739F6">
              <w:rPr>
                <w:rFonts w:ascii="Arial" w:eastAsia="Times New Roman" w:hAnsi="Arial" w:cs="Arial"/>
                <w:bCs/>
                <w:sz w:val="22"/>
                <w:szCs w:val="22"/>
                <w:lang w:val="es-ES"/>
              </w:rPr>
              <w:t xml:space="preserve">onductores, cables o cualquier otro elemento de naturaleza análoga instalados, al semestre o </w:t>
            </w:r>
            <w:r w:rsidR="000739F6" w:rsidRPr="000739F6">
              <w:rPr>
                <w:rFonts w:ascii="Arial" w:eastAsia="Times New Roman" w:hAnsi="Arial" w:cs="Arial"/>
                <w:bCs/>
                <w:sz w:val="22"/>
                <w:szCs w:val="22"/>
                <w:lang w:val="es-ES"/>
              </w:rPr>
              <w:t>f</w:t>
            </w:r>
            <w:r w:rsidRPr="000739F6">
              <w:rPr>
                <w:rFonts w:ascii="Arial" w:eastAsia="Times New Roman" w:hAnsi="Arial" w:cs="Arial"/>
                <w:bCs/>
                <w:sz w:val="22"/>
                <w:szCs w:val="22"/>
                <w:lang w:val="es-ES"/>
              </w:rPr>
              <w:t>racción</w:t>
            </w:r>
            <w:r w:rsidR="00D41D72">
              <w:rPr>
                <w:rFonts w:ascii="Arial" w:eastAsia="Times New Roman" w:hAnsi="Arial" w:cs="Arial"/>
                <w:sz w:val="22"/>
                <w:szCs w:val="22"/>
                <w:lang w:val="es-ES"/>
              </w:rPr>
              <w:t>…………………………………………………………...</w:t>
            </w:r>
          </w:p>
        </w:tc>
        <w:tc>
          <w:tcPr>
            <w:tcW w:w="1701" w:type="dxa"/>
            <w:vAlign w:val="bottom"/>
          </w:tcPr>
          <w:p w:rsidR="00802037" w:rsidRPr="00B01A8E" w:rsidRDefault="00907218" w:rsidP="004F2AF1">
            <w:pPr>
              <w:jc w:val="center"/>
              <w:rPr>
                <w:rFonts w:ascii="Arial" w:eastAsia="Times New Roman" w:hAnsi="Arial" w:cs="Arial"/>
                <w:sz w:val="22"/>
                <w:szCs w:val="22"/>
                <w:highlight w:val="yellow"/>
                <w:lang w:val="es-ES"/>
              </w:rPr>
            </w:pPr>
            <w:r w:rsidRPr="00B01A8E">
              <w:rPr>
                <w:rFonts w:ascii="Arial" w:hAnsi="Arial" w:cs="Arial"/>
                <w:bCs/>
                <w:sz w:val="22"/>
                <w:szCs w:val="22"/>
              </w:rPr>
              <w:t>0,540911</w:t>
            </w:r>
          </w:p>
        </w:tc>
      </w:tr>
      <w:tr w:rsidR="00802037" w:rsidRPr="00B44802" w:rsidTr="0051309E">
        <w:trPr>
          <w:trHeight w:val="302"/>
          <w:jc w:val="center"/>
        </w:trPr>
        <w:tc>
          <w:tcPr>
            <w:tcW w:w="8788" w:type="dxa"/>
            <w:gridSpan w:val="2"/>
          </w:tcPr>
          <w:p w:rsidR="00802037" w:rsidRPr="00620B61" w:rsidRDefault="00802037" w:rsidP="00B44802">
            <w:pPr>
              <w:ind w:firstLine="862"/>
              <w:jc w:val="both"/>
              <w:rPr>
                <w:rFonts w:ascii="Arial" w:eastAsia="Times New Roman" w:hAnsi="Arial" w:cs="Arial"/>
                <w:sz w:val="22"/>
                <w:szCs w:val="22"/>
                <w:lang w:val="es-ES"/>
              </w:rPr>
            </w:pPr>
            <w:r w:rsidRPr="00620B61">
              <w:rPr>
                <w:rFonts w:ascii="Arial" w:eastAsia="Times New Roman" w:hAnsi="Arial" w:cs="Arial"/>
                <w:bCs/>
                <w:sz w:val="22"/>
                <w:szCs w:val="22"/>
                <w:lang w:val="es-ES"/>
              </w:rPr>
              <w:t xml:space="preserve">Cuando se trate de hilos conductores o cables, la unidad será el metro lineal o fracción de hilo conductor, siempre que éste no forme una unidad con otros hilos conductores en forma de cordón y protegidos por una envoltura común en todo su </w:t>
            </w:r>
            <w:r w:rsidRPr="00620B61">
              <w:rPr>
                <w:rFonts w:ascii="Arial" w:eastAsia="Times New Roman" w:hAnsi="Arial" w:cs="Arial"/>
                <w:sz w:val="22"/>
                <w:szCs w:val="22"/>
                <w:lang w:val="es-ES"/>
              </w:rPr>
              <w:t>recorrido</w:t>
            </w:r>
            <w:r w:rsidRPr="00620B61">
              <w:rPr>
                <w:rFonts w:ascii="Arial" w:eastAsia="Times New Roman" w:hAnsi="Arial" w:cs="Arial"/>
                <w:bCs/>
                <w:sz w:val="22"/>
                <w:szCs w:val="22"/>
                <w:lang w:val="es-ES"/>
              </w:rPr>
              <w:t>, a la que se le pueda denominar cable desde el punto de vista usual, en cuyo caso la unidad de medida será el metro lineal de cable</w:t>
            </w:r>
            <w:r w:rsidR="00B44802">
              <w:rPr>
                <w:rFonts w:ascii="Arial" w:eastAsia="Times New Roman" w:hAnsi="Arial" w:cs="Arial"/>
                <w:bCs/>
                <w:sz w:val="22"/>
                <w:szCs w:val="22"/>
                <w:lang w:val="es-ES"/>
              </w:rPr>
              <w:t>.</w:t>
            </w:r>
          </w:p>
        </w:tc>
      </w:tr>
    </w:tbl>
    <w:p w:rsidR="007944AB" w:rsidRDefault="008B13F3" w:rsidP="008B13F3">
      <w:pPr>
        <w:spacing w:before="60"/>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 xml:space="preserve">2. </w:t>
      </w:r>
      <w:r w:rsidRPr="007944AB">
        <w:rPr>
          <w:rFonts w:ascii="Arial" w:eastAsia="Times New Roman" w:hAnsi="Arial" w:cs="Arial"/>
          <w:bCs/>
          <w:sz w:val="22"/>
          <w:szCs w:val="22"/>
          <w:lang w:val="es-ES"/>
        </w:rPr>
        <w:t>Por los servicios que se presten a solicitud de persona interesada, se satisfarán las siguientes cuotas:</w:t>
      </w:r>
    </w:p>
    <w:tbl>
      <w:tblPr>
        <w:tblW w:w="8859" w:type="dxa"/>
        <w:jc w:val="center"/>
        <w:tblLayout w:type="fixed"/>
        <w:tblCellMar>
          <w:left w:w="70" w:type="dxa"/>
          <w:right w:w="70" w:type="dxa"/>
        </w:tblCellMar>
        <w:tblLook w:val="0000" w:firstRow="0" w:lastRow="0" w:firstColumn="0" w:lastColumn="0" w:noHBand="0" w:noVBand="0"/>
      </w:tblPr>
      <w:tblGrid>
        <w:gridCol w:w="7088"/>
        <w:gridCol w:w="1771"/>
      </w:tblGrid>
      <w:tr w:rsidR="007944AB" w:rsidRPr="009B004A" w:rsidTr="000739F6">
        <w:trPr>
          <w:trHeight w:val="254"/>
          <w:jc w:val="center"/>
        </w:trPr>
        <w:tc>
          <w:tcPr>
            <w:tcW w:w="7088" w:type="dxa"/>
          </w:tcPr>
          <w:p w:rsidR="007944AB" w:rsidRPr="00802037" w:rsidRDefault="007944AB" w:rsidP="007944AB">
            <w:pPr>
              <w:ind w:left="720" w:firstLine="720"/>
              <w:jc w:val="both"/>
              <w:rPr>
                <w:rFonts w:ascii="Arial" w:eastAsia="Times New Roman" w:hAnsi="Arial" w:cs="Arial"/>
                <w:b/>
                <w:sz w:val="22"/>
                <w:szCs w:val="22"/>
                <w:u w:val="single"/>
                <w:lang w:val="es-ES"/>
              </w:rPr>
            </w:pPr>
          </w:p>
        </w:tc>
        <w:tc>
          <w:tcPr>
            <w:tcW w:w="1771" w:type="dxa"/>
          </w:tcPr>
          <w:p w:rsidR="007944AB" w:rsidRPr="00D41D72" w:rsidRDefault="007944AB" w:rsidP="00D41D72">
            <w:pPr>
              <w:spacing w:after="60"/>
              <w:jc w:val="center"/>
              <w:rPr>
                <w:rFonts w:ascii="Arial" w:eastAsia="Times New Roman" w:hAnsi="Arial" w:cs="Arial"/>
                <w:sz w:val="22"/>
                <w:szCs w:val="22"/>
                <w:u w:val="single"/>
                <w:lang w:val="es-ES"/>
              </w:rPr>
            </w:pPr>
            <w:r w:rsidRPr="00D41D72">
              <w:rPr>
                <w:rFonts w:ascii="Arial" w:eastAsia="Times New Roman" w:hAnsi="Arial" w:cs="Arial"/>
                <w:sz w:val="22"/>
                <w:szCs w:val="22"/>
                <w:u w:val="single"/>
                <w:lang w:val="es-ES"/>
              </w:rPr>
              <w:t>Euros</w:t>
            </w:r>
          </w:p>
        </w:tc>
      </w:tr>
      <w:tr w:rsidR="007944AB" w:rsidTr="000739F6">
        <w:trPr>
          <w:trHeight w:val="282"/>
          <w:jc w:val="center"/>
        </w:trPr>
        <w:tc>
          <w:tcPr>
            <w:tcW w:w="7088" w:type="dxa"/>
          </w:tcPr>
          <w:p w:rsidR="007944AB" w:rsidRPr="007944AB" w:rsidRDefault="007944AB" w:rsidP="00D41D72">
            <w:pPr>
              <w:autoSpaceDE w:val="0"/>
              <w:autoSpaceDN w:val="0"/>
              <w:adjustRightInd w:val="0"/>
              <w:spacing w:before="60" w:after="60"/>
              <w:ind w:left="180"/>
              <w:jc w:val="both"/>
              <w:rPr>
                <w:rFonts w:ascii="Arial" w:eastAsia="Times New Roman" w:hAnsi="Arial" w:cs="Arial"/>
                <w:bCs/>
                <w:sz w:val="22"/>
                <w:szCs w:val="22"/>
                <w:lang w:val="es-ES"/>
              </w:rPr>
            </w:pPr>
            <w:r w:rsidRPr="007944AB">
              <w:rPr>
                <w:rFonts w:ascii="Arial" w:eastAsia="Times New Roman" w:hAnsi="Arial" w:cs="Arial"/>
                <w:bCs/>
                <w:sz w:val="22"/>
                <w:szCs w:val="22"/>
                <w:lang w:val="es-ES"/>
              </w:rPr>
              <w:t>Por cada replanteo………………………………</w:t>
            </w:r>
            <w:r w:rsidR="00D41D72">
              <w:rPr>
                <w:rFonts w:ascii="Arial" w:eastAsia="Times New Roman" w:hAnsi="Arial" w:cs="Arial"/>
                <w:bCs/>
                <w:sz w:val="22"/>
                <w:szCs w:val="22"/>
                <w:lang w:val="es-ES"/>
              </w:rPr>
              <w:t>………………………….</w:t>
            </w:r>
          </w:p>
        </w:tc>
        <w:tc>
          <w:tcPr>
            <w:tcW w:w="1771" w:type="dxa"/>
          </w:tcPr>
          <w:p w:rsidR="007944AB" w:rsidRPr="0027529C" w:rsidRDefault="0027529C" w:rsidP="00D41D72">
            <w:pPr>
              <w:spacing w:before="60" w:after="60"/>
              <w:jc w:val="center"/>
              <w:rPr>
                <w:rFonts w:ascii="Arial" w:eastAsia="Times New Roman" w:hAnsi="Arial" w:cs="Arial"/>
                <w:bCs/>
                <w:sz w:val="22"/>
                <w:szCs w:val="22"/>
                <w:lang w:val="es-ES"/>
              </w:rPr>
            </w:pPr>
            <w:r w:rsidRPr="0027529C">
              <w:rPr>
                <w:rFonts w:ascii="Arial" w:eastAsia="Times New Roman" w:hAnsi="Arial" w:cs="Arial"/>
                <w:bCs/>
                <w:sz w:val="22"/>
                <w:szCs w:val="22"/>
                <w:lang w:val="es-ES"/>
              </w:rPr>
              <w:t>287,00</w:t>
            </w:r>
          </w:p>
        </w:tc>
      </w:tr>
      <w:tr w:rsidR="007944AB" w:rsidTr="000739F6">
        <w:trPr>
          <w:trHeight w:val="282"/>
          <w:jc w:val="center"/>
        </w:trPr>
        <w:tc>
          <w:tcPr>
            <w:tcW w:w="7088" w:type="dxa"/>
          </w:tcPr>
          <w:p w:rsidR="007944AB" w:rsidRPr="007944AB" w:rsidRDefault="007944AB" w:rsidP="00D41D72">
            <w:pPr>
              <w:autoSpaceDE w:val="0"/>
              <w:autoSpaceDN w:val="0"/>
              <w:adjustRightInd w:val="0"/>
              <w:spacing w:before="60" w:after="60"/>
              <w:ind w:left="180"/>
              <w:jc w:val="both"/>
              <w:rPr>
                <w:rFonts w:ascii="Arial" w:eastAsia="Times New Roman" w:hAnsi="Arial" w:cs="Arial"/>
                <w:bCs/>
                <w:sz w:val="22"/>
                <w:szCs w:val="22"/>
                <w:lang w:val="es-ES"/>
              </w:rPr>
            </w:pPr>
            <w:r w:rsidRPr="007944AB">
              <w:rPr>
                <w:rFonts w:ascii="Arial" w:eastAsia="Times New Roman" w:hAnsi="Arial" w:cs="Arial"/>
                <w:bCs/>
                <w:sz w:val="22"/>
                <w:szCs w:val="22"/>
                <w:lang w:val="es-ES"/>
              </w:rPr>
              <w:t>Por cada visita……………………………………</w:t>
            </w:r>
            <w:r w:rsidR="00D41D72">
              <w:rPr>
                <w:rFonts w:ascii="Arial" w:eastAsia="Times New Roman" w:hAnsi="Arial" w:cs="Arial"/>
                <w:bCs/>
                <w:sz w:val="22"/>
                <w:szCs w:val="22"/>
                <w:lang w:val="es-ES"/>
              </w:rPr>
              <w:t>…………………………</w:t>
            </w:r>
          </w:p>
        </w:tc>
        <w:tc>
          <w:tcPr>
            <w:tcW w:w="1771" w:type="dxa"/>
          </w:tcPr>
          <w:p w:rsidR="007944AB" w:rsidRPr="0027529C" w:rsidRDefault="0027529C" w:rsidP="00D41D72">
            <w:pPr>
              <w:spacing w:before="60" w:after="60"/>
              <w:jc w:val="center"/>
              <w:rPr>
                <w:rFonts w:ascii="Arial" w:eastAsia="Times New Roman" w:hAnsi="Arial" w:cs="Arial"/>
                <w:bCs/>
                <w:sz w:val="22"/>
                <w:szCs w:val="22"/>
                <w:lang w:val="es-ES"/>
              </w:rPr>
            </w:pPr>
            <w:r w:rsidRPr="0027529C">
              <w:rPr>
                <w:rFonts w:ascii="Arial" w:eastAsia="Times New Roman" w:hAnsi="Arial" w:cs="Arial"/>
                <w:bCs/>
                <w:sz w:val="22"/>
                <w:szCs w:val="22"/>
                <w:lang w:val="es-ES"/>
              </w:rPr>
              <w:t>148,85</w:t>
            </w:r>
          </w:p>
        </w:tc>
      </w:tr>
    </w:tbl>
    <w:p w:rsidR="00802037" w:rsidRDefault="00802037" w:rsidP="00837E55">
      <w:pPr>
        <w:ind w:left="720" w:firstLine="720"/>
        <w:jc w:val="both"/>
        <w:rPr>
          <w:rFonts w:ascii="Arial" w:eastAsia="Times New Roman" w:hAnsi="Arial" w:cs="Arial"/>
          <w:sz w:val="22"/>
          <w:szCs w:val="22"/>
          <w:lang w:val="es-ES"/>
        </w:rPr>
      </w:pPr>
    </w:p>
    <w:p w:rsidR="00C73C7F" w:rsidRDefault="00C73C7F" w:rsidP="00C73C7F">
      <w:pPr>
        <w:ind w:firstLine="709"/>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S</w:t>
      </w:r>
      <w:r w:rsidR="00C64CC6">
        <w:rPr>
          <w:rFonts w:ascii="Arial" w:eastAsia="Times New Roman" w:hAnsi="Arial" w:cs="Arial"/>
          <w:spacing w:val="20"/>
          <w:sz w:val="22"/>
          <w:szCs w:val="22"/>
          <w:lang w:val="es-ES"/>
        </w:rPr>
        <w:t>eis</w:t>
      </w:r>
      <w:r w:rsidRPr="00717540">
        <w:rPr>
          <w:rFonts w:ascii="Arial" w:eastAsia="Times New Roman" w:hAnsi="Arial" w:cs="Arial"/>
          <w:spacing w:val="20"/>
          <w:sz w:val="22"/>
          <w:szCs w:val="22"/>
          <w:lang w:val="es-ES"/>
        </w:rPr>
        <w:t xml:space="preserve">. Se modifica </w:t>
      </w:r>
      <w:r>
        <w:rPr>
          <w:rFonts w:ascii="Arial" w:eastAsia="Times New Roman" w:hAnsi="Arial" w:cs="Arial"/>
          <w:spacing w:val="20"/>
          <w:sz w:val="22"/>
          <w:szCs w:val="22"/>
          <w:lang w:val="es-ES"/>
        </w:rPr>
        <w:t>el artículo 7</w:t>
      </w:r>
      <w:r w:rsidR="00541972">
        <w:rPr>
          <w:rFonts w:ascii="Arial" w:eastAsia="Times New Roman" w:hAnsi="Arial" w:cs="Arial"/>
          <w:spacing w:val="20"/>
          <w:sz w:val="22"/>
          <w:szCs w:val="22"/>
          <w:lang w:val="es-ES"/>
        </w:rPr>
        <w:t xml:space="preserve">, </w:t>
      </w:r>
      <w:r>
        <w:rPr>
          <w:rFonts w:ascii="Arial" w:eastAsia="Times New Roman" w:hAnsi="Arial" w:cs="Arial"/>
          <w:spacing w:val="20"/>
          <w:sz w:val="22"/>
          <w:szCs w:val="22"/>
          <w:lang w:val="es-ES"/>
        </w:rPr>
        <w:t>que queda redactado del siguiente modo</w:t>
      </w:r>
      <w:r w:rsidR="00186C0E">
        <w:rPr>
          <w:rFonts w:ascii="Arial" w:eastAsia="Times New Roman" w:hAnsi="Arial" w:cs="Arial"/>
          <w:spacing w:val="20"/>
          <w:sz w:val="22"/>
          <w:szCs w:val="22"/>
          <w:lang w:val="es-ES"/>
        </w:rPr>
        <w:t>:</w:t>
      </w:r>
    </w:p>
    <w:p w:rsidR="00186C0E" w:rsidRDefault="00186C0E" w:rsidP="00C73C7F">
      <w:pPr>
        <w:ind w:firstLine="709"/>
        <w:jc w:val="both"/>
        <w:rPr>
          <w:rFonts w:ascii="Arial" w:eastAsia="Times New Roman" w:hAnsi="Arial" w:cs="Arial"/>
          <w:sz w:val="22"/>
          <w:szCs w:val="22"/>
          <w:lang w:val="es-ES"/>
        </w:rPr>
      </w:pPr>
    </w:p>
    <w:p w:rsidR="00186C0E" w:rsidRDefault="00186C0E" w:rsidP="00186C0E">
      <w:pPr>
        <w:ind w:left="709" w:firstLine="709"/>
        <w:jc w:val="both"/>
        <w:rPr>
          <w:rFonts w:ascii="Arial" w:eastAsia="Times New Roman" w:hAnsi="Arial" w:cs="Arial"/>
          <w:sz w:val="22"/>
          <w:szCs w:val="22"/>
          <w:lang w:val="es-ES"/>
        </w:rPr>
      </w:pPr>
      <w:r>
        <w:rPr>
          <w:rFonts w:ascii="Arial" w:eastAsia="Times New Roman" w:hAnsi="Arial" w:cs="Arial"/>
          <w:sz w:val="22"/>
          <w:szCs w:val="22"/>
          <w:lang w:val="es-ES"/>
        </w:rPr>
        <w:t>«</w:t>
      </w:r>
      <w:r w:rsidRPr="00802037">
        <w:rPr>
          <w:rFonts w:ascii="Arial" w:eastAsia="Times New Roman" w:hAnsi="Arial" w:cs="Arial"/>
          <w:sz w:val="22"/>
          <w:szCs w:val="22"/>
          <w:lang w:val="es-ES"/>
        </w:rPr>
        <w:t xml:space="preserve">Artículo </w:t>
      </w:r>
      <w:r>
        <w:rPr>
          <w:rFonts w:ascii="Arial" w:eastAsia="Times New Roman" w:hAnsi="Arial" w:cs="Arial"/>
          <w:sz w:val="22"/>
          <w:szCs w:val="22"/>
          <w:lang w:val="es-ES"/>
        </w:rPr>
        <w:t xml:space="preserve">7.1. </w:t>
      </w:r>
      <w:r w:rsidRPr="00186C0E">
        <w:rPr>
          <w:rFonts w:ascii="Arial" w:eastAsia="Times New Roman" w:hAnsi="Arial" w:cs="Arial"/>
          <w:sz w:val="22"/>
          <w:szCs w:val="22"/>
          <w:lang w:val="es-ES"/>
        </w:rPr>
        <w:t>En los casos de los servicios de prestación periódica, las personas naturales o jurídicas interesadas en la utilización de los mismos, presentarán en el Registro General, así como en otros registros o lugares señalados en la legislación sobre procedimiento administrativo común de las Administraciones Públicas, una solicitud, dirigida a la unidad administrativa competente en materia de alumbrado público e instalaciones especiales, especificando la clase de tendido, longitud, sección, volumen, emplazamiento y demás características necesarias para identificar el elemento a colocar, adjuntando, asimismo, un croquis o plano de la instalación.</w:t>
      </w:r>
    </w:p>
    <w:p w:rsidR="00186C0E" w:rsidRDefault="00B44802" w:rsidP="00186C0E">
      <w:pPr>
        <w:ind w:left="709" w:firstLine="709"/>
        <w:jc w:val="both"/>
        <w:rPr>
          <w:rFonts w:ascii="Arial" w:eastAsia="Times New Roman" w:hAnsi="Arial" w:cs="Arial"/>
          <w:sz w:val="22"/>
          <w:szCs w:val="22"/>
          <w:lang w:val="es-ES"/>
        </w:rPr>
      </w:pPr>
      <w:r>
        <w:rPr>
          <w:rFonts w:ascii="Arial" w:eastAsia="Times New Roman" w:hAnsi="Arial" w:cs="Arial"/>
          <w:sz w:val="22"/>
          <w:szCs w:val="22"/>
          <w:lang w:val="es-ES"/>
        </w:rPr>
        <w:t xml:space="preserve">2. </w:t>
      </w:r>
      <w:r w:rsidR="00186C0E" w:rsidRPr="00186C0E">
        <w:rPr>
          <w:rFonts w:ascii="Arial" w:eastAsia="Times New Roman" w:hAnsi="Arial" w:cs="Arial"/>
          <w:sz w:val="22"/>
          <w:szCs w:val="22"/>
          <w:lang w:val="es-ES"/>
        </w:rPr>
        <w:t xml:space="preserve">Una vez ejecutado el tendido, previa autorización y replanteo por parte del órgano </w:t>
      </w:r>
      <w:r w:rsidR="00186C0E" w:rsidRPr="00541972">
        <w:rPr>
          <w:rFonts w:ascii="Arial" w:eastAsia="Times New Roman" w:hAnsi="Arial" w:cs="Arial"/>
          <w:sz w:val="22"/>
          <w:szCs w:val="22"/>
          <w:lang w:val="es-ES"/>
        </w:rPr>
        <w:t>competente, la unidad administrativa a que se refiere el apartado anterior, comunicará a la oficina gestora de</w:t>
      </w:r>
      <w:r w:rsidR="00186C0E" w:rsidRPr="00186C0E">
        <w:rPr>
          <w:rFonts w:ascii="Arial" w:eastAsia="Times New Roman" w:hAnsi="Arial" w:cs="Arial"/>
          <w:sz w:val="22"/>
          <w:szCs w:val="22"/>
          <w:lang w:val="es-ES"/>
        </w:rPr>
        <w:t xml:space="preserve"> la tasa, dentro de los quince primeros días de cada semestre natural, las autorizaciones de tendido que se hayan otorgado en el semestre inmediatamente anterior, con expresión de las personas físicas o jurídicas autorizadas, los elementos colocados, su situación, longitud, sección, volumen y cuantos datos sean necesarios para la liquidación, así como las bajas de tendido que se hayan producido en el expresado período de tiempo.</w:t>
      </w:r>
    </w:p>
    <w:p w:rsidR="00186C0E" w:rsidRPr="00B01A8E" w:rsidRDefault="00186C0E" w:rsidP="00186C0E">
      <w:pPr>
        <w:ind w:left="709" w:firstLine="709"/>
        <w:jc w:val="both"/>
        <w:rPr>
          <w:rFonts w:ascii="Arial" w:eastAsia="Times New Roman" w:hAnsi="Arial" w:cs="Arial"/>
          <w:sz w:val="22"/>
          <w:szCs w:val="22"/>
          <w:lang w:val="es-ES"/>
        </w:rPr>
      </w:pPr>
      <w:r w:rsidRPr="00186C0E">
        <w:rPr>
          <w:rFonts w:ascii="Arial" w:eastAsia="Times New Roman" w:hAnsi="Arial" w:cs="Arial"/>
          <w:sz w:val="22"/>
          <w:szCs w:val="22"/>
          <w:lang w:val="es-ES"/>
        </w:rPr>
        <w:t xml:space="preserve">La citada </w:t>
      </w:r>
      <w:r w:rsidR="00541972">
        <w:rPr>
          <w:rFonts w:ascii="Arial" w:eastAsia="Times New Roman" w:hAnsi="Arial" w:cs="Arial"/>
          <w:sz w:val="22"/>
          <w:szCs w:val="22"/>
          <w:lang w:val="es-ES"/>
        </w:rPr>
        <w:t>oficina gestora</w:t>
      </w:r>
      <w:r w:rsidRPr="00186C0E">
        <w:rPr>
          <w:rFonts w:ascii="Arial" w:eastAsia="Times New Roman" w:hAnsi="Arial" w:cs="Arial"/>
          <w:sz w:val="22"/>
          <w:szCs w:val="22"/>
          <w:lang w:val="es-ES"/>
        </w:rPr>
        <w:t xml:space="preserve">, teniendo en cuenta los datos existentes en el semestre anterior y los facilitados por </w:t>
      </w:r>
      <w:r w:rsidR="00EC26E5">
        <w:rPr>
          <w:rFonts w:ascii="Arial" w:eastAsia="Times New Roman" w:hAnsi="Arial" w:cs="Arial"/>
          <w:sz w:val="22"/>
          <w:szCs w:val="22"/>
          <w:lang w:val="es-ES"/>
        </w:rPr>
        <w:t>la citada unidad administrativa</w:t>
      </w:r>
      <w:r w:rsidRPr="00186C0E">
        <w:rPr>
          <w:rFonts w:ascii="Arial" w:eastAsia="Times New Roman" w:hAnsi="Arial" w:cs="Arial"/>
          <w:sz w:val="22"/>
          <w:szCs w:val="22"/>
          <w:lang w:val="es-ES"/>
        </w:rPr>
        <w:t>, practicará semestralmente la correspondiente liquidación, de acuerdo con lo establecido en las normas anteriores y la notificación en forma al interesado</w:t>
      </w:r>
      <w:r w:rsidRPr="00B01A8E">
        <w:rPr>
          <w:rFonts w:ascii="Arial" w:eastAsia="Times New Roman" w:hAnsi="Arial" w:cs="Arial"/>
          <w:sz w:val="22"/>
          <w:szCs w:val="22"/>
          <w:lang w:val="es-ES"/>
        </w:rPr>
        <w:t xml:space="preserve">. </w:t>
      </w:r>
    </w:p>
    <w:p w:rsidR="00186C0E" w:rsidRDefault="00186C0E" w:rsidP="00186C0E">
      <w:pPr>
        <w:ind w:left="709" w:firstLine="709"/>
        <w:jc w:val="both"/>
        <w:rPr>
          <w:rFonts w:ascii="Arial" w:eastAsia="Times New Roman" w:hAnsi="Arial" w:cs="Arial"/>
          <w:sz w:val="22"/>
          <w:szCs w:val="22"/>
          <w:lang w:val="es-ES"/>
        </w:rPr>
      </w:pPr>
      <w:r>
        <w:rPr>
          <w:rFonts w:ascii="Arial" w:eastAsia="Times New Roman" w:hAnsi="Arial" w:cs="Arial"/>
          <w:sz w:val="22"/>
          <w:szCs w:val="22"/>
          <w:lang w:val="es-ES"/>
        </w:rPr>
        <w:lastRenderedPageBreak/>
        <w:t xml:space="preserve">3. </w:t>
      </w:r>
      <w:r w:rsidRPr="00186C0E">
        <w:rPr>
          <w:rFonts w:ascii="Arial" w:eastAsia="Times New Roman" w:hAnsi="Arial" w:cs="Arial"/>
          <w:sz w:val="22"/>
          <w:szCs w:val="22"/>
          <w:lang w:val="es-ES"/>
        </w:rPr>
        <w:t>No se procederá a dar la baja en el tributo hasta la fecha en que lleve a cabo el desmontaje de las correspondientes instalaciones, lo que se comunicará, por el órgano competente a la oficina gestora de la tasa.</w:t>
      </w:r>
    </w:p>
    <w:p w:rsidR="00186C0E" w:rsidRDefault="00186C0E" w:rsidP="00186C0E">
      <w:pPr>
        <w:ind w:left="709" w:firstLine="709"/>
        <w:jc w:val="both"/>
        <w:rPr>
          <w:rFonts w:ascii="Arial" w:eastAsia="Times New Roman" w:hAnsi="Arial" w:cs="Arial"/>
          <w:sz w:val="22"/>
          <w:szCs w:val="22"/>
          <w:lang w:val="es-ES"/>
        </w:rPr>
      </w:pPr>
      <w:r>
        <w:rPr>
          <w:rFonts w:ascii="Arial" w:eastAsia="Times New Roman" w:hAnsi="Arial" w:cs="Arial"/>
          <w:sz w:val="22"/>
          <w:szCs w:val="22"/>
          <w:lang w:val="es-ES"/>
        </w:rPr>
        <w:t xml:space="preserve">4. </w:t>
      </w:r>
      <w:r w:rsidRPr="00186C0E">
        <w:rPr>
          <w:rFonts w:ascii="Arial" w:eastAsia="Times New Roman" w:hAnsi="Arial" w:cs="Arial"/>
          <w:sz w:val="22"/>
          <w:szCs w:val="22"/>
          <w:lang w:val="es-ES"/>
        </w:rPr>
        <w:t>El pago de la cuota resultante de la liquidación se efectuará en los plazos que se determinan en el Reglamento General de Recaudación para las deudas tributarias</w:t>
      </w:r>
      <w:r w:rsidR="00B44802" w:rsidRPr="00620B61">
        <w:rPr>
          <w:rFonts w:ascii="Arial" w:eastAsia="Times New Roman" w:hAnsi="Arial" w:cs="Arial"/>
          <w:bCs/>
          <w:sz w:val="22"/>
          <w:szCs w:val="22"/>
          <w:lang w:val="es-ES"/>
        </w:rPr>
        <w:t>»</w:t>
      </w:r>
      <w:r w:rsidR="00B44802">
        <w:rPr>
          <w:rFonts w:ascii="Arial" w:eastAsia="Times New Roman" w:hAnsi="Arial" w:cs="Arial"/>
          <w:bCs/>
          <w:sz w:val="22"/>
          <w:szCs w:val="22"/>
          <w:lang w:val="es-ES"/>
        </w:rPr>
        <w:t>.</w:t>
      </w:r>
    </w:p>
    <w:p w:rsidR="00B44802" w:rsidRDefault="00B44802" w:rsidP="00186C0E">
      <w:pPr>
        <w:ind w:left="709" w:firstLine="709"/>
        <w:jc w:val="both"/>
        <w:rPr>
          <w:rFonts w:ascii="Arial" w:eastAsia="Times New Roman" w:hAnsi="Arial" w:cs="Arial"/>
          <w:sz w:val="22"/>
          <w:szCs w:val="22"/>
          <w:lang w:val="es-ES"/>
        </w:rPr>
      </w:pPr>
    </w:p>
    <w:p w:rsidR="00B44802" w:rsidRDefault="00C64CC6" w:rsidP="00186C0E">
      <w:pPr>
        <w:ind w:left="709" w:firstLine="709"/>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Siete</w:t>
      </w:r>
      <w:r w:rsidR="00B44802" w:rsidRPr="00717540">
        <w:rPr>
          <w:rFonts w:ascii="Arial" w:eastAsia="Times New Roman" w:hAnsi="Arial" w:cs="Arial"/>
          <w:spacing w:val="20"/>
          <w:sz w:val="22"/>
          <w:szCs w:val="22"/>
          <w:lang w:val="es-ES"/>
        </w:rPr>
        <w:t xml:space="preserve">. Se </w:t>
      </w:r>
      <w:r w:rsidR="00B44802">
        <w:rPr>
          <w:rFonts w:ascii="Arial" w:eastAsia="Times New Roman" w:hAnsi="Arial" w:cs="Arial"/>
          <w:spacing w:val="20"/>
          <w:sz w:val="22"/>
          <w:szCs w:val="22"/>
          <w:lang w:val="es-ES"/>
        </w:rPr>
        <w:t>añade un nuevo artículo 8, que queda redactado del siguiente modo:</w:t>
      </w:r>
    </w:p>
    <w:p w:rsidR="00C64CC6" w:rsidRDefault="00C64CC6" w:rsidP="00186C0E">
      <w:pPr>
        <w:ind w:left="709" w:firstLine="709"/>
        <w:jc w:val="both"/>
        <w:rPr>
          <w:rFonts w:ascii="Arial" w:eastAsia="Times New Roman" w:hAnsi="Arial" w:cs="Arial"/>
          <w:spacing w:val="20"/>
          <w:sz w:val="22"/>
          <w:szCs w:val="22"/>
          <w:lang w:val="es-ES"/>
        </w:rPr>
      </w:pPr>
    </w:p>
    <w:p w:rsidR="00C64CC6" w:rsidRDefault="00C64CC6" w:rsidP="00186C0E">
      <w:pPr>
        <w:ind w:left="709" w:firstLine="709"/>
        <w:jc w:val="both"/>
        <w:rPr>
          <w:rFonts w:ascii="Arial" w:eastAsia="Times New Roman" w:hAnsi="Arial" w:cs="Arial"/>
          <w:bCs/>
          <w:sz w:val="22"/>
          <w:szCs w:val="22"/>
          <w:lang w:val="es-ES"/>
        </w:rPr>
      </w:pPr>
      <w:r>
        <w:rPr>
          <w:rFonts w:ascii="Arial" w:eastAsia="Times New Roman" w:hAnsi="Arial" w:cs="Arial"/>
          <w:sz w:val="22"/>
          <w:szCs w:val="22"/>
          <w:lang w:val="es-ES"/>
        </w:rPr>
        <w:t>«</w:t>
      </w:r>
      <w:r w:rsidRPr="00802037">
        <w:rPr>
          <w:rFonts w:ascii="Arial" w:eastAsia="Times New Roman" w:hAnsi="Arial" w:cs="Arial"/>
          <w:sz w:val="22"/>
          <w:szCs w:val="22"/>
          <w:lang w:val="es-ES"/>
        </w:rPr>
        <w:t xml:space="preserve">Artículo </w:t>
      </w:r>
      <w:r>
        <w:rPr>
          <w:rFonts w:ascii="Arial" w:eastAsia="Times New Roman" w:hAnsi="Arial" w:cs="Arial"/>
          <w:sz w:val="22"/>
          <w:szCs w:val="22"/>
          <w:lang w:val="es-ES"/>
        </w:rPr>
        <w:t xml:space="preserve">8. </w:t>
      </w:r>
      <w:r w:rsidRPr="00C64CC6">
        <w:rPr>
          <w:rFonts w:ascii="Arial" w:eastAsia="Times New Roman" w:hAnsi="Arial" w:cs="Arial"/>
          <w:sz w:val="22"/>
          <w:szCs w:val="22"/>
          <w:lang w:val="es-ES"/>
        </w:rPr>
        <w:t>La tasa por la prestación de los servicios solicitados de manera individual por las personas interesadas se exigirá en régimen de autoliquidación. A tal efecto, los sujetos pasivos estarán obligados a practicar autoliquidación en los impresos habilitados al efecto por la Administración municipal y a realizar su ingreso en cualquier entidad bancaria autorizada, lo que se deberá acreditar en el momento de presentar la correspondiente solicitud</w:t>
      </w:r>
      <w:r w:rsidRPr="00620B61">
        <w:rPr>
          <w:rFonts w:ascii="Arial" w:eastAsia="Times New Roman" w:hAnsi="Arial" w:cs="Arial"/>
          <w:bCs/>
          <w:sz w:val="22"/>
          <w:szCs w:val="22"/>
          <w:lang w:val="es-ES"/>
        </w:rPr>
        <w:t>»</w:t>
      </w:r>
      <w:r>
        <w:rPr>
          <w:rFonts w:ascii="Arial" w:eastAsia="Times New Roman" w:hAnsi="Arial" w:cs="Arial"/>
          <w:bCs/>
          <w:sz w:val="22"/>
          <w:szCs w:val="22"/>
          <w:lang w:val="es-ES"/>
        </w:rPr>
        <w:t>.</w:t>
      </w:r>
    </w:p>
    <w:p w:rsidR="00C64CC6" w:rsidRDefault="00C64CC6" w:rsidP="00186C0E">
      <w:pPr>
        <w:ind w:left="709" w:firstLine="709"/>
        <w:jc w:val="both"/>
        <w:rPr>
          <w:rFonts w:ascii="Arial" w:eastAsia="Times New Roman" w:hAnsi="Arial" w:cs="Arial"/>
          <w:bCs/>
          <w:sz w:val="22"/>
          <w:szCs w:val="22"/>
          <w:lang w:val="es-ES"/>
        </w:rPr>
      </w:pPr>
    </w:p>
    <w:p w:rsidR="00C64CC6" w:rsidRDefault="00C64CC6" w:rsidP="00C64CC6">
      <w:pPr>
        <w:ind w:left="709" w:firstLine="709"/>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Ocho</w:t>
      </w:r>
      <w:r w:rsidRPr="00717540">
        <w:rPr>
          <w:rFonts w:ascii="Arial" w:eastAsia="Times New Roman" w:hAnsi="Arial" w:cs="Arial"/>
          <w:spacing w:val="20"/>
          <w:sz w:val="22"/>
          <w:szCs w:val="22"/>
          <w:lang w:val="es-ES"/>
        </w:rPr>
        <w:t xml:space="preserve">. </w:t>
      </w:r>
      <w:r w:rsidR="006A2765" w:rsidRPr="006A2765">
        <w:rPr>
          <w:rFonts w:ascii="Arial" w:eastAsia="Times New Roman" w:hAnsi="Arial" w:cs="Arial"/>
          <w:spacing w:val="20"/>
          <w:sz w:val="22"/>
          <w:szCs w:val="22"/>
        </w:rPr>
        <w:t>Se renumera el artículo 8 que pasa a ser el artículo 9</w:t>
      </w:r>
      <w:r w:rsidR="0030455C">
        <w:rPr>
          <w:rFonts w:ascii="Arial" w:eastAsia="Times New Roman" w:hAnsi="Arial" w:cs="Arial"/>
          <w:spacing w:val="20"/>
          <w:sz w:val="22"/>
          <w:szCs w:val="22"/>
          <w:lang w:val="es-ES"/>
        </w:rPr>
        <w:t>.</w:t>
      </w:r>
    </w:p>
    <w:p w:rsidR="00C64CC6" w:rsidRDefault="00C64CC6" w:rsidP="00C64CC6">
      <w:pPr>
        <w:ind w:left="709" w:firstLine="709"/>
        <w:jc w:val="both"/>
        <w:rPr>
          <w:rFonts w:ascii="Arial" w:eastAsia="Times New Roman" w:hAnsi="Arial" w:cs="Arial"/>
          <w:spacing w:val="20"/>
          <w:sz w:val="22"/>
          <w:szCs w:val="22"/>
          <w:lang w:val="es-ES"/>
        </w:rPr>
      </w:pPr>
    </w:p>
    <w:p w:rsidR="00C64CC6" w:rsidRDefault="00C64CC6" w:rsidP="00C64CC6">
      <w:pPr>
        <w:ind w:left="709" w:firstLine="709"/>
        <w:jc w:val="both"/>
        <w:rPr>
          <w:rFonts w:ascii="Arial" w:eastAsia="Times New Roman" w:hAnsi="Arial" w:cs="Arial"/>
          <w:spacing w:val="20"/>
          <w:sz w:val="22"/>
          <w:szCs w:val="22"/>
          <w:lang w:val="es-ES"/>
        </w:rPr>
      </w:pPr>
    </w:p>
    <w:p w:rsidR="00C64CC6" w:rsidRDefault="00C64CC6" w:rsidP="00186C0E">
      <w:pPr>
        <w:ind w:left="709" w:firstLine="709"/>
        <w:jc w:val="both"/>
        <w:rPr>
          <w:rFonts w:ascii="Arial" w:eastAsia="Times New Roman" w:hAnsi="Arial" w:cs="Arial"/>
          <w:sz w:val="22"/>
          <w:szCs w:val="22"/>
          <w:lang w:val="es-ES"/>
        </w:rPr>
      </w:pPr>
      <w:bookmarkStart w:id="0" w:name="_GoBack"/>
      <w:bookmarkEnd w:id="0"/>
    </w:p>
    <w:sectPr w:rsidR="00C64CC6" w:rsidSect="00A11EBD">
      <w:footerReference w:type="even" r:id="rId7"/>
      <w:footerReference w:type="default" r:id="rId8"/>
      <w:pgSz w:w="11906" w:h="16838" w:code="9"/>
      <w:pgMar w:top="2268" w:right="1021" w:bottom="1701" w:left="102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D3F" w:rsidRDefault="00E43D3F">
      <w:r>
        <w:separator/>
      </w:r>
    </w:p>
  </w:endnote>
  <w:endnote w:type="continuationSeparator" w:id="0">
    <w:p w:rsidR="00E43D3F" w:rsidRDefault="00E4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panose1 w:val="020B0602020204020204"/>
    <w:charset w:val="00"/>
    <w:family w:val="auto"/>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altName w:val="Lato Black"/>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Default="00F63474" w:rsidP="003B30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424B">
      <w:rPr>
        <w:rStyle w:val="Nmerodepgina"/>
        <w:noProof/>
      </w:rPr>
      <w:t>1</w:t>
    </w:r>
    <w:r>
      <w:rPr>
        <w:rStyle w:val="Nmerodepgina"/>
      </w:rPr>
      <w:fldChar w:fldCharType="end"/>
    </w:r>
  </w:p>
  <w:p w:rsidR="00F63474" w:rsidRDefault="00F63474" w:rsidP="00F71A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Pr="00D55C25" w:rsidRDefault="00F63474" w:rsidP="003B30F5">
    <w:pPr>
      <w:pStyle w:val="Piedepgina"/>
      <w:framePr w:wrap="around" w:vAnchor="text" w:hAnchor="margin" w:xAlign="right" w:y="1"/>
      <w:rPr>
        <w:rStyle w:val="Nmerodepgina"/>
        <w:rFonts w:ascii="Arial" w:hAnsi="Arial" w:cs="Arial"/>
        <w:sz w:val="16"/>
        <w:szCs w:val="16"/>
      </w:rPr>
    </w:pPr>
    <w:r w:rsidRPr="00D55C25">
      <w:rPr>
        <w:rStyle w:val="Nmerodepgina"/>
        <w:rFonts w:ascii="Arial" w:hAnsi="Arial" w:cs="Arial"/>
        <w:sz w:val="16"/>
        <w:szCs w:val="16"/>
      </w:rPr>
      <w:fldChar w:fldCharType="begin"/>
    </w:r>
    <w:r w:rsidRPr="00D55C25">
      <w:rPr>
        <w:rStyle w:val="Nmerodepgina"/>
        <w:rFonts w:ascii="Arial" w:hAnsi="Arial" w:cs="Arial"/>
        <w:sz w:val="16"/>
        <w:szCs w:val="16"/>
      </w:rPr>
      <w:instrText xml:space="preserve">PAGE  </w:instrText>
    </w:r>
    <w:r w:rsidRPr="00D55C25">
      <w:rPr>
        <w:rStyle w:val="Nmerodepgina"/>
        <w:rFonts w:ascii="Arial" w:hAnsi="Arial" w:cs="Arial"/>
        <w:sz w:val="16"/>
        <w:szCs w:val="16"/>
      </w:rPr>
      <w:fldChar w:fldCharType="separate"/>
    </w:r>
    <w:r w:rsidR="006A2765">
      <w:rPr>
        <w:rStyle w:val="Nmerodepgina"/>
        <w:rFonts w:ascii="Arial" w:hAnsi="Arial" w:cs="Arial"/>
        <w:noProof/>
        <w:sz w:val="16"/>
        <w:szCs w:val="16"/>
      </w:rPr>
      <w:t>2</w:t>
    </w:r>
    <w:r w:rsidRPr="00D55C25">
      <w:rPr>
        <w:rStyle w:val="Nmerodepgina"/>
        <w:rFonts w:ascii="Arial" w:hAnsi="Arial" w:cs="Arial"/>
        <w:sz w:val="16"/>
        <w:szCs w:val="16"/>
      </w:rPr>
      <w:fldChar w:fldCharType="end"/>
    </w:r>
  </w:p>
  <w:p w:rsidR="00F63474" w:rsidRDefault="00F63474" w:rsidP="00F71A8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D3F" w:rsidRDefault="00E43D3F">
      <w:r>
        <w:separator/>
      </w:r>
    </w:p>
  </w:footnote>
  <w:footnote w:type="continuationSeparator" w:id="0">
    <w:p w:rsidR="00E43D3F" w:rsidRDefault="00E43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58CFE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E76E4C"/>
    <w:multiLevelType w:val="hybridMultilevel"/>
    <w:tmpl w:val="B6B4BF4E"/>
    <w:lvl w:ilvl="0" w:tplc="C13E05EE">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12D23A88"/>
    <w:multiLevelType w:val="hybridMultilevel"/>
    <w:tmpl w:val="87288B2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15E36676"/>
    <w:multiLevelType w:val="hybridMultilevel"/>
    <w:tmpl w:val="025A77D2"/>
    <w:lvl w:ilvl="0" w:tplc="A200434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24963764"/>
    <w:multiLevelType w:val="multilevel"/>
    <w:tmpl w:val="D0EA20E4"/>
    <w:lvl w:ilvl="0">
      <w:start w:val="4"/>
      <w:numFmt w:val="lowerLetter"/>
      <w:lvlText w:val="%1)"/>
      <w:lvlJc w:val="left"/>
      <w:pPr>
        <w:tabs>
          <w:tab w:val="num" w:pos="1080"/>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5CF2ED2"/>
    <w:multiLevelType w:val="hybridMultilevel"/>
    <w:tmpl w:val="8C9EFE8A"/>
    <w:lvl w:ilvl="0" w:tplc="E27405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8F96BC1"/>
    <w:multiLevelType w:val="hybridMultilevel"/>
    <w:tmpl w:val="F858CE24"/>
    <w:lvl w:ilvl="0" w:tplc="02CA5E66">
      <w:start w:val="1"/>
      <w:numFmt w:val="decimal"/>
      <w:lvlText w:val="%1."/>
      <w:lvlJc w:val="left"/>
      <w:pPr>
        <w:ind w:left="644" w:hanging="360"/>
      </w:pPr>
      <w:rPr>
        <w:rFonts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39081B72"/>
    <w:multiLevelType w:val="hybridMultilevel"/>
    <w:tmpl w:val="4900F224"/>
    <w:lvl w:ilvl="0" w:tplc="02109EBE">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4FCB5A28"/>
    <w:multiLevelType w:val="multilevel"/>
    <w:tmpl w:val="99A61A76"/>
    <w:lvl w:ilvl="0">
      <w:start w:val="1"/>
      <w:numFmt w:val="decimal"/>
      <w:suff w:val="space"/>
      <w:lvlText w:val="Artículo %1."/>
      <w:lvlJc w:val="left"/>
      <w:pPr>
        <w:ind w:left="0" w:firstLine="567"/>
      </w:pPr>
      <w:rPr>
        <w:rFonts w:ascii="Arial" w:hAnsi="Arial" w:cs="Arial" w:hint="default"/>
        <w:b/>
        <w:i w:val="0"/>
        <w:color w:val="auto"/>
        <w:sz w:val="22"/>
      </w:rPr>
    </w:lvl>
    <w:lvl w:ilvl="1">
      <w:start w:val="1"/>
      <w:numFmt w:val="decimalZero"/>
      <w:isLgl/>
      <w:lvlText w:val="Secció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CE52523"/>
    <w:multiLevelType w:val="hybridMultilevel"/>
    <w:tmpl w:val="D586F37A"/>
    <w:lvl w:ilvl="0" w:tplc="60D65DC6">
      <w:start w:val="1"/>
      <w:numFmt w:val="lowerLetter"/>
      <w:lvlText w:val="%1)"/>
      <w:lvlJc w:val="left"/>
      <w:pPr>
        <w:tabs>
          <w:tab w:val="num" w:pos="1077"/>
        </w:tabs>
        <w:ind w:left="1077" w:hanging="368"/>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o:colormru v:ext="edit" colors="#1160bd,#1160c6,#115fc7"/>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D9"/>
    <w:rsid w:val="000016E3"/>
    <w:rsid w:val="0001142D"/>
    <w:rsid w:val="00020722"/>
    <w:rsid w:val="0002556F"/>
    <w:rsid w:val="00026129"/>
    <w:rsid w:val="000333BB"/>
    <w:rsid w:val="0003518A"/>
    <w:rsid w:val="000365C7"/>
    <w:rsid w:val="00036B7B"/>
    <w:rsid w:val="000445D9"/>
    <w:rsid w:val="000500C1"/>
    <w:rsid w:val="000511F0"/>
    <w:rsid w:val="00054D73"/>
    <w:rsid w:val="0005512F"/>
    <w:rsid w:val="0006086E"/>
    <w:rsid w:val="00071087"/>
    <w:rsid w:val="000739F6"/>
    <w:rsid w:val="00074A4F"/>
    <w:rsid w:val="00083851"/>
    <w:rsid w:val="00085328"/>
    <w:rsid w:val="00085600"/>
    <w:rsid w:val="000878CE"/>
    <w:rsid w:val="00092609"/>
    <w:rsid w:val="0009318B"/>
    <w:rsid w:val="00094662"/>
    <w:rsid w:val="000947C8"/>
    <w:rsid w:val="00094A05"/>
    <w:rsid w:val="00096BF8"/>
    <w:rsid w:val="000A36E4"/>
    <w:rsid w:val="000A6D36"/>
    <w:rsid w:val="000B3D1D"/>
    <w:rsid w:val="000B4952"/>
    <w:rsid w:val="000B6186"/>
    <w:rsid w:val="000C113A"/>
    <w:rsid w:val="000C1677"/>
    <w:rsid w:val="000C73D3"/>
    <w:rsid w:val="000D10BB"/>
    <w:rsid w:val="000D60D5"/>
    <w:rsid w:val="000E0605"/>
    <w:rsid w:val="000E22F0"/>
    <w:rsid w:val="000E47B9"/>
    <w:rsid w:val="000E4D78"/>
    <w:rsid w:val="000E5779"/>
    <w:rsid w:val="000F04BE"/>
    <w:rsid w:val="000F09B5"/>
    <w:rsid w:val="000F40A3"/>
    <w:rsid w:val="000F461D"/>
    <w:rsid w:val="000F6995"/>
    <w:rsid w:val="000F7729"/>
    <w:rsid w:val="000F7E3D"/>
    <w:rsid w:val="001025DF"/>
    <w:rsid w:val="0010474E"/>
    <w:rsid w:val="00105561"/>
    <w:rsid w:val="00105607"/>
    <w:rsid w:val="001123A8"/>
    <w:rsid w:val="00114192"/>
    <w:rsid w:val="00117B8D"/>
    <w:rsid w:val="00121D3A"/>
    <w:rsid w:val="0012214D"/>
    <w:rsid w:val="00131DF1"/>
    <w:rsid w:val="001345C9"/>
    <w:rsid w:val="0013480B"/>
    <w:rsid w:val="001419DB"/>
    <w:rsid w:val="00152F14"/>
    <w:rsid w:val="001534EC"/>
    <w:rsid w:val="001559FB"/>
    <w:rsid w:val="00156828"/>
    <w:rsid w:val="00164DBB"/>
    <w:rsid w:val="00165DE9"/>
    <w:rsid w:val="00166DCC"/>
    <w:rsid w:val="00173C75"/>
    <w:rsid w:val="00182E34"/>
    <w:rsid w:val="0018558B"/>
    <w:rsid w:val="00186C0E"/>
    <w:rsid w:val="00187506"/>
    <w:rsid w:val="00192A4F"/>
    <w:rsid w:val="00195D47"/>
    <w:rsid w:val="001A01F1"/>
    <w:rsid w:val="001A499B"/>
    <w:rsid w:val="001A777E"/>
    <w:rsid w:val="001B020C"/>
    <w:rsid w:val="001B5000"/>
    <w:rsid w:val="001B5E67"/>
    <w:rsid w:val="001C3B83"/>
    <w:rsid w:val="001C71B9"/>
    <w:rsid w:val="001D13D4"/>
    <w:rsid w:val="001D46B9"/>
    <w:rsid w:val="001D68A7"/>
    <w:rsid w:val="001E053C"/>
    <w:rsid w:val="001E063E"/>
    <w:rsid w:val="001F0AE1"/>
    <w:rsid w:val="001F41CC"/>
    <w:rsid w:val="001F462D"/>
    <w:rsid w:val="00201ECD"/>
    <w:rsid w:val="00212127"/>
    <w:rsid w:val="002203D0"/>
    <w:rsid w:val="00224413"/>
    <w:rsid w:val="00226A37"/>
    <w:rsid w:val="00227EA4"/>
    <w:rsid w:val="00243C4C"/>
    <w:rsid w:val="002456BA"/>
    <w:rsid w:val="00251F95"/>
    <w:rsid w:val="00256DFA"/>
    <w:rsid w:val="002606DE"/>
    <w:rsid w:val="00262E15"/>
    <w:rsid w:val="00270ED4"/>
    <w:rsid w:val="002723D3"/>
    <w:rsid w:val="0027529C"/>
    <w:rsid w:val="0028247E"/>
    <w:rsid w:val="00283AD1"/>
    <w:rsid w:val="002841DD"/>
    <w:rsid w:val="00284611"/>
    <w:rsid w:val="00291405"/>
    <w:rsid w:val="00294664"/>
    <w:rsid w:val="00296520"/>
    <w:rsid w:val="002969B8"/>
    <w:rsid w:val="002A55BB"/>
    <w:rsid w:val="002C2AD8"/>
    <w:rsid w:val="002C5F57"/>
    <w:rsid w:val="002C6AAE"/>
    <w:rsid w:val="002C6F49"/>
    <w:rsid w:val="002C7186"/>
    <w:rsid w:val="002C7D67"/>
    <w:rsid w:val="002D3E7A"/>
    <w:rsid w:val="002D44B3"/>
    <w:rsid w:val="002E1DC3"/>
    <w:rsid w:val="002F5CA0"/>
    <w:rsid w:val="002F7520"/>
    <w:rsid w:val="0030022E"/>
    <w:rsid w:val="003011BE"/>
    <w:rsid w:val="00302C7C"/>
    <w:rsid w:val="0030455C"/>
    <w:rsid w:val="003108CE"/>
    <w:rsid w:val="00310C2B"/>
    <w:rsid w:val="003110BB"/>
    <w:rsid w:val="00312D67"/>
    <w:rsid w:val="003237F0"/>
    <w:rsid w:val="00324852"/>
    <w:rsid w:val="003275D1"/>
    <w:rsid w:val="00330087"/>
    <w:rsid w:val="00353E1D"/>
    <w:rsid w:val="0035408E"/>
    <w:rsid w:val="00355B0B"/>
    <w:rsid w:val="003674F0"/>
    <w:rsid w:val="003705AA"/>
    <w:rsid w:val="003716D1"/>
    <w:rsid w:val="00384074"/>
    <w:rsid w:val="0038476C"/>
    <w:rsid w:val="00384ECA"/>
    <w:rsid w:val="00391470"/>
    <w:rsid w:val="00394261"/>
    <w:rsid w:val="00395E9C"/>
    <w:rsid w:val="003A0BC0"/>
    <w:rsid w:val="003A7094"/>
    <w:rsid w:val="003A70A0"/>
    <w:rsid w:val="003A7839"/>
    <w:rsid w:val="003B1F94"/>
    <w:rsid w:val="003B30F5"/>
    <w:rsid w:val="003C2F47"/>
    <w:rsid w:val="003D43CB"/>
    <w:rsid w:val="003D67EB"/>
    <w:rsid w:val="003E4123"/>
    <w:rsid w:val="003F1B03"/>
    <w:rsid w:val="00402C34"/>
    <w:rsid w:val="00414C9B"/>
    <w:rsid w:val="0041757E"/>
    <w:rsid w:val="00422A5B"/>
    <w:rsid w:val="00424F47"/>
    <w:rsid w:val="004252C1"/>
    <w:rsid w:val="004307E2"/>
    <w:rsid w:val="00430AFF"/>
    <w:rsid w:val="00433BF6"/>
    <w:rsid w:val="00434685"/>
    <w:rsid w:val="004360F7"/>
    <w:rsid w:val="004366BF"/>
    <w:rsid w:val="00440C08"/>
    <w:rsid w:val="0045222E"/>
    <w:rsid w:val="00452E55"/>
    <w:rsid w:val="00462517"/>
    <w:rsid w:val="00464F89"/>
    <w:rsid w:val="00471854"/>
    <w:rsid w:val="004740DF"/>
    <w:rsid w:val="0048001A"/>
    <w:rsid w:val="0048034D"/>
    <w:rsid w:val="004851C4"/>
    <w:rsid w:val="00492513"/>
    <w:rsid w:val="004945CA"/>
    <w:rsid w:val="00494777"/>
    <w:rsid w:val="00496094"/>
    <w:rsid w:val="00497D96"/>
    <w:rsid w:val="004A6396"/>
    <w:rsid w:val="004A76DC"/>
    <w:rsid w:val="004B0A5A"/>
    <w:rsid w:val="004B0B67"/>
    <w:rsid w:val="004B46F7"/>
    <w:rsid w:val="004B6D43"/>
    <w:rsid w:val="004B6DC7"/>
    <w:rsid w:val="004C34B7"/>
    <w:rsid w:val="004C76B6"/>
    <w:rsid w:val="004D2CE5"/>
    <w:rsid w:val="004D420F"/>
    <w:rsid w:val="004E4789"/>
    <w:rsid w:val="004F2AF1"/>
    <w:rsid w:val="004F2EAD"/>
    <w:rsid w:val="004F7B62"/>
    <w:rsid w:val="0050236C"/>
    <w:rsid w:val="00505A74"/>
    <w:rsid w:val="005075EA"/>
    <w:rsid w:val="0051309E"/>
    <w:rsid w:val="005231F5"/>
    <w:rsid w:val="00523638"/>
    <w:rsid w:val="00531BB3"/>
    <w:rsid w:val="00535922"/>
    <w:rsid w:val="00541972"/>
    <w:rsid w:val="00563552"/>
    <w:rsid w:val="005812E0"/>
    <w:rsid w:val="00583189"/>
    <w:rsid w:val="00584B7A"/>
    <w:rsid w:val="00584EF5"/>
    <w:rsid w:val="00587AD3"/>
    <w:rsid w:val="00592E3E"/>
    <w:rsid w:val="0059609F"/>
    <w:rsid w:val="005A33AA"/>
    <w:rsid w:val="005A51F7"/>
    <w:rsid w:val="005A62B0"/>
    <w:rsid w:val="005B5212"/>
    <w:rsid w:val="005B6E3A"/>
    <w:rsid w:val="005B6EC9"/>
    <w:rsid w:val="005D2D26"/>
    <w:rsid w:val="005D45E9"/>
    <w:rsid w:val="005D49EE"/>
    <w:rsid w:val="005D695B"/>
    <w:rsid w:val="005E0FA5"/>
    <w:rsid w:val="005E15A9"/>
    <w:rsid w:val="005F419B"/>
    <w:rsid w:val="00600306"/>
    <w:rsid w:val="00603B62"/>
    <w:rsid w:val="00620B61"/>
    <w:rsid w:val="00625118"/>
    <w:rsid w:val="006400E6"/>
    <w:rsid w:val="006434C3"/>
    <w:rsid w:val="00643A4B"/>
    <w:rsid w:val="00645F68"/>
    <w:rsid w:val="00651088"/>
    <w:rsid w:val="006548ED"/>
    <w:rsid w:val="0066174E"/>
    <w:rsid w:val="00666817"/>
    <w:rsid w:val="006679BF"/>
    <w:rsid w:val="0067281D"/>
    <w:rsid w:val="006805C3"/>
    <w:rsid w:val="00687A62"/>
    <w:rsid w:val="00690295"/>
    <w:rsid w:val="006925FD"/>
    <w:rsid w:val="006963D1"/>
    <w:rsid w:val="006A0254"/>
    <w:rsid w:val="006A2765"/>
    <w:rsid w:val="006A5ED3"/>
    <w:rsid w:val="006A6444"/>
    <w:rsid w:val="006B01C6"/>
    <w:rsid w:val="006B0319"/>
    <w:rsid w:val="006B1F5D"/>
    <w:rsid w:val="006B25E5"/>
    <w:rsid w:val="006B79FD"/>
    <w:rsid w:val="006C1AD3"/>
    <w:rsid w:val="006D17B0"/>
    <w:rsid w:val="006D744D"/>
    <w:rsid w:val="006E24FD"/>
    <w:rsid w:val="006E5C18"/>
    <w:rsid w:val="006F595E"/>
    <w:rsid w:val="006F5AB0"/>
    <w:rsid w:val="006F6BF8"/>
    <w:rsid w:val="0070265A"/>
    <w:rsid w:val="0071231F"/>
    <w:rsid w:val="007133DA"/>
    <w:rsid w:val="00717540"/>
    <w:rsid w:val="00720CCB"/>
    <w:rsid w:val="0072275E"/>
    <w:rsid w:val="00725BE7"/>
    <w:rsid w:val="007322D6"/>
    <w:rsid w:val="007327AE"/>
    <w:rsid w:val="00732D01"/>
    <w:rsid w:val="00747BCA"/>
    <w:rsid w:val="00761C1E"/>
    <w:rsid w:val="00771712"/>
    <w:rsid w:val="007735A4"/>
    <w:rsid w:val="00773883"/>
    <w:rsid w:val="00773892"/>
    <w:rsid w:val="0077489E"/>
    <w:rsid w:val="007804C1"/>
    <w:rsid w:val="007830C5"/>
    <w:rsid w:val="00787BEE"/>
    <w:rsid w:val="00787D2D"/>
    <w:rsid w:val="00790C8C"/>
    <w:rsid w:val="007944AB"/>
    <w:rsid w:val="00795314"/>
    <w:rsid w:val="00797CFD"/>
    <w:rsid w:val="007A144D"/>
    <w:rsid w:val="007A4A78"/>
    <w:rsid w:val="007A745C"/>
    <w:rsid w:val="007A7668"/>
    <w:rsid w:val="007B6587"/>
    <w:rsid w:val="007B79A9"/>
    <w:rsid w:val="007D014A"/>
    <w:rsid w:val="007D07D3"/>
    <w:rsid w:val="007D40DB"/>
    <w:rsid w:val="007D47CD"/>
    <w:rsid w:val="007E09DC"/>
    <w:rsid w:val="007E5F0C"/>
    <w:rsid w:val="007E61D7"/>
    <w:rsid w:val="007F0907"/>
    <w:rsid w:val="007F595C"/>
    <w:rsid w:val="00802037"/>
    <w:rsid w:val="00805ED1"/>
    <w:rsid w:val="008072CD"/>
    <w:rsid w:val="00815B15"/>
    <w:rsid w:val="00815E29"/>
    <w:rsid w:val="00823008"/>
    <w:rsid w:val="00823E4B"/>
    <w:rsid w:val="00824A59"/>
    <w:rsid w:val="00827070"/>
    <w:rsid w:val="008335E1"/>
    <w:rsid w:val="008349D5"/>
    <w:rsid w:val="008356CD"/>
    <w:rsid w:val="00836865"/>
    <w:rsid w:val="00837E55"/>
    <w:rsid w:val="00842032"/>
    <w:rsid w:val="00855352"/>
    <w:rsid w:val="0086065A"/>
    <w:rsid w:val="00861B7C"/>
    <w:rsid w:val="00863617"/>
    <w:rsid w:val="00863DB1"/>
    <w:rsid w:val="00866272"/>
    <w:rsid w:val="00875EDF"/>
    <w:rsid w:val="008803BE"/>
    <w:rsid w:val="008833E2"/>
    <w:rsid w:val="0088424B"/>
    <w:rsid w:val="00884BAB"/>
    <w:rsid w:val="00885D5C"/>
    <w:rsid w:val="008907CD"/>
    <w:rsid w:val="00894B24"/>
    <w:rsid w:val="00897D6A"/>
    <w:rsid w:val="008A0D5A"/>
    <w:rsid w:val="008A26C0"/>
    <w:rsid w:val="008A6329"/>
    <w:rsid w:val="008B13F3"/>
    <w:rsid w:val="008B1565"/>
    <w:rsid w:val="008B34CE"/>
    <w:rsid w:val="008B47E7"/>
    <w:rsid w:val="008B6F9F"/>
    <w:rsid w:val="008C088F"/>
    <w:rsid w:val="008C2F50"/>
    <w:rsid w:val="008D616D"/>
    <w:rsid w:val="008E3DCD"/>
    <w:rsid w:val="008E4166"/>
    <w:rsid w:val="008E6C1F"/>
    <w:rsid w:val="008F2E38"/>
    <w:rsid w:val="009024C3"/>
    <w:rsid w:val="00907218"/>
    <w:rsid w:val="00907F90"/>
    <w:rsid w:val="009102C9"/>
    <w:rsid w:val="00911439"/>
    <w:rsid w:val="00917171"/>
    <w:rsid w:val="009258F1"/>
    <w:rsid w:val="00931223"/>
    <w:rsid w:val="00942995"/>
    <w:rsid w:val="00944D9A"/>
    <w:rsid w:val="00946AB2"/>
    <w:rsid w:val="00951699"/>
    <w:rsid w:val="009561CA"/>
    <w:rsid w:val="009667D6"/>
    <w:rsid w:val="0097112A"/>
    <w:rsid w:val="00974068"/>
    <w:rsid w:val="00976257"/>
    <w:rsid w:val="00976C53"/>
    <w:rsid w:val="00984EDB"/>
    <w:rsid w:val="00985FC7"/>
    <w:rsid w:val="00987828"/>
    <w:rsid w:val="00987E4E"/>
    <w:rsid w:val="00992E7A"/>
    <w:rsid w:val="00993232"/>
    <w:rsid w:val="00995EDE"/>
    <w:rsid w:val="009A0A71"/>
    <w:rsid w:val="009A2EB0"/>
    <w:rsid w:val="009B0AF3"/>
    <w:rsid w:val="009B33D8"/>
    <w:rsid w:val="009B3B15"/>
    <w:rsid w:val="009B3B4C"/>
    <w:rsid w:val="009B54C5"/>
    <w:rsid w:val="009B79E6"/>
    <w:rsid w:val="009C2AAA"/>
    <w:rsid w:val="009C4B66"/>
    <w:rsid w:val="009C55EA"/>
    <w:rsid w:val="009C6929"/>
    <w:rsid w:val="009C7ABD"/>
    <w:rsid w:val="009D26F5"/>
    <w:rsid w:val="009D52C5"/>
    <w:rsid w:val="009D6BD3"/>
    <w:rsid w:val="009D7F91"/>
    <w:rsid w:val="009E11A1"/>
    <w:rsid w:val="009E3E40"/>
    <w:rsid w:val="009E7D5E"/>
    <w:rsid w:val="009F25BA"/>
    <w:rsid w:val="009F3886"/>
    <w:rsid w:val="009F47FC"/>
    <w:rsid w:val="009F6E77"/>
    <w:rsid w:val="00A024ED"/>
    <w:rsid w:val="00A050C9"/>
    <w:rsid w:val="00A11EBD"/>
    <w:rsid w:val="00A1247C"/>
    <w:rsid w:val="00A24E0F"/>
    <w:rsid w:val="00A32BA6"/>
    <w:rsid w:val="00A46201"/>
    <w:rsid w:val="00A52215"/>
    <w:rsid w:val="00A53E21"/>
    <w:rsid w:val="00A55023"/>
    <w:rsid w:val="00A55463"/>
    <w:rsid w:val="00A56628"/>
    <w:rsid w:val="00A621FA"/>
    <w:rsid w:val="00A64374"/>
    <w:rsid w:val="00A6542E"/>
    <w:rsid w:val="00A70B07"/>
    <w:rsid w:val="00A74C08"/>
    <w:rsid w:val="00A75AFD"/>
    <w:rsid w:val="00A76115"/>
    <w:rsid w:val="00A81AA4"/>
    <w:rsid w:val="00A823E3"/>
    <w:rsid w:val="00A86FE6"/>
    <w:rsid w:val="00A87630"/>
    <w:rsid w:val="00A904A0"/>
    <w:rsid w:val="00A94CDF"/>
    <w:rsid w:val="00A96ECF"/>
    <w:rsid w:val="00AA3844"/>
    <w:rsid w:val="00AA4E37"/>
    <w:rsid w:val="00AA6857"/>
    <w:rsid w:val="00AA7DF3"/>
    <w:rsid w:val="00AB4BD3"/>
    <w:rsid w:val="00AB7BEE"/>
    <w:rsid w:val="00AC5191"/>
    <w:rsid w:val="00AC5947"/>
    <w:rsid w:val="00AD2E6D"/>
    <w:rsid w:val="00AE7095"/>
    <w:rsid w:val="00AE7E51"/>
    <w:rsid w:val="00B00955"/>
    <w:rsid w:val="00B01041"/>
    <w:rsid w:val="00B01A8E"/>
    <w:rsid w:val="00B01FED"/>
    <w:rsid w:val="00B0491A"/>
    <w:rsid w:val="00B0740F"/>
    <w:rsid w:val="00B134A1"/>
    <w:rsid w:val="00B15773"/>
    <w:rsid w:val="00B1631D"/>
    <w:rsid w:val="00B16CE7"/>
    <w:rsid w:val="00B2325E"/>
    <w:rsid w:val="00B2357A"/>
    <w:rsid w:val="00B2455C"/>
    <w:rsid w:val="00B2712B"/>
    <w:rsid w:val="00B3067F"/>
    <w:rsid w:val="00B31FDD"/>
    <w:rsid w:val="00B35992"/>
    <w:rsid w:val="00B375B7"/>
    <w:rsid w:val="00B433A3"/>
    <w:rsid w:val="00B44802"/>
    <w:rsid w:val="00B44C71"/>
    <w:rsid w:val="00B6033B"/>
    <w:rsid w:val="00B61B4A"/>
    <w:rsid w:val="00B723A6"/>
    <w:rsid w:val="00B75DD7"/>
    <w:rsid w:val="00B81249"/>
    <w:rsid w:val="00B82C7D"/>
    <w:rsid w:val="00B85FB1"/>
    <w:rsid w:val="00B94F6B"/>
    <w:rsid w:val="00BA6A6C"/>
    <w:rsid w:val="00BB0AD5"/>
    <w:rsid w:val="00BB1F47"/>
    <w:rsid w:val="00BB2CC8"/>
    <w:rsid w:val="00BB3675"/>
    <w:rsid w:val="00BB3E82"/>
    <w:rsid w:val="00BB4132"/>
    <w:rsid w:val="00BC2B3C"/>
    <w:rsid w:val="00BC74F1"/>
    <w:rsid w:val="00BD203A"/>
    <w:rsid w:val="00BD7BA9"/>
    <w:rsid w:val="00BF2CDB"/>
    <w:rsid w:val="00BF6B9A"/>
    <w:rsid w:val="00C0058E"/>
    <w:rsid w:val="00C05BCE"/>
    <w:rsid w:val="00C10759"/>
    <w:rsid w:val="00C1633C"/>
    <w:rsid w:val="00C22246"/>
    <w:rsid w:val="00C23590"/>
    <w:rsid w:val="00C249EF"/>
    <w:rsid w:val="00C34433"/>
    <w:rsid w:val="00C41507"/>
    <w:rsid w:val="00C4476B"/>
    <w:rsid w:val="00C44B65"/>
    <w:rsid w:val="00C47341"/>
    <w:rsid w:val="00C5117E"/>
    <w:rsid w:val="00C52ECB"/>
    <w:rsid w:val="00C52F25"/>
    <w:rsid w:val="00C53DC2"/>
    <w:rsid w:val="00C54C00"/>
    <w:rsid w:val="00C54DD4"/>
    <w:rsid w:val="00C5562D"/>
    <w:rsid w:val="00C55F38"/>
    <w:rsid w:val="00C6192E"/>
    <w:rsid w:val="00C6296B"/>
    <w:rsid w:val="00C64145"/>
    <w:rsid w:val="00C64CC6"/>
    <w:rsid w:val="00C712C9"/>
    <w:rsid w:val="00C73C7F"/>
    <w:rsid w:val="00C7410B"/>
    <w:rsid w:val="00C85727"/>
    <w:rsid w:val="00C8715C"/>
    <w:rsid w:val="00C95316"/>
    <w:rsid w:val="00C97FBA"/>
    <w:rsid w:val="00CB059F"/>
    <w:rsid w:val="00CC3ECE"/>
    <w:rsid w:val="00CC4434"/>
    <w:rsid w:val="00CC4CC3"/>
    <w:rsid w:val="00CC78BE"/>
    <w:rsid w:val="00CE0450"/>
    <w:rsid w:val="00CE060A"/>
    <w:rsid w:val="00CE1FA1"/>
    <w:rsid w:val="00CE6D79"/>
    <w:rsid w:val="00CF05BE"/>
    <w:rsid w:val="00D10F85"/>
    <w:rsid w:val="00D13BBF"/>
    <w:rsid w:val="00D1441F"/>
    <w:rsid w:val="00D16106"/>
    <w:rsid w:val="00D3515D"/>
    <w:rsid w:val="00D37459"/>
    <w:rsid w:val="00D41D72"/>
    <w:rsid w:val="00D44E0E"/>
    <w:rsid w:val="00D514D5"/>
    <w:rsid w:val="00D5279F"/>
    <w:rsid w:val="00D55183"/>
    <w:rsid w:val="00D55861"/>
    <w:rsid w:val="00D55C25"/>
    <w:rsid w:val="00D6298F"/>
    <w:rsid w:val="00D74010"/>
    <w:rsid w:val="00D75B50"/>
    <w:rsid w:val="00D8359C"/>
    <w:rsid w:val="00D872C6"/>
    <w:rsid w:val="00D9346D"/>
    <w:rsid w:val="00D95638"/>
    <w:rsid w:val="00DA79D8"/>
    <w:rsid w:val="00DB2401"/>
    <w:rsid w:val="00DB7659"/>
    <w:rsid w:val="00DD3249"/>
    <w:rsid w:val="00DD4FAA"/>
    <w:rsid w:val="00DE04D2"/>
    <w:rsid w:val="00DE3618"/>
    <w:rsid w:val="00DE7364"/>
    <w:rsid w:val="00DF5DE9"/>
    <w:rsid w:val="00DF5FD1"/>
    <w:rsid w:val="00E00125"/>
    <w:rsid w:val="00E002AB"/>
    <w:rsid w:val="00E16057"/>
    <w:rsid w:val="00E176D9"/>
    <w:rsid w:val="00E246CE"/>
    <w:rsid w:val="00E26169"/>
    <w:rsid w:val="00E31CF7"/>
    <w:rsid w:val="00E43D3F"/>
    <w:rsid w:val="00E452ED"/>
    <w:rsid w:val="00E46CBB"/>
    <w:rsid w:val="00E522CD"/>
    <w:rsid w:val="00E610E6"/>
    <w:rsid w:val="00E63982"/>
    <w:rsid w:val="00E662DE"/>
    <w:rsid w:val="00E67CA7"/>
    <w:rsid w:val="00E730E9"/>
    <w:rsid w:val="00E74AC6"/>
    <w:rsid w:val="00E802EB"/>
    <w:rsid w:val="00E822F9"/>
    <w:rsid w:val="00E833F7"/>
    <w:rsid w:val="00E8393E"/>
    <w:rsid w:val="00E86462"/>
    <w:rsid w:val="00E965C6"/>
    <w:rsid w:val="00EA0AA3"/>
    <w:rsid w:val="00EA2217"/>
    <w:rsid w:val="00EA450A"/>
    <w:rsid w:val="00EA5DAC"/>
    <w:rsid w:val="00EB068B"/>
    <w:rsid w:val="00EB16B9"/>
    <w:rsid w:val="00EB40B5"/>
    <w:rsid w:val="00EB463F"/>
    <w:rsid w:val="00EC26E5"/>
    <w:rsid w:val="00EC2CC3"/>
    <w:rsid w:val="00EC3CC7"/>
    <w:rsid w:val="00EC45DB"/>
    <w:rsid w:val="00EC5022"/>
    <w:rsid w:val="00ED1D09"/>
    <w:rsid w:val="00ED3F0A"/>
    <w:rsid w:val="00EE0573"/>
    <w:rsid w:val="00EE1467"/>
    <w:rsid w:val="00EF17E3"/>
    <w:rsid w:val="00F04DE6"/>
    <w:rsid w:val="00F05670"/>
    <w:rsid w:val="00F13F36"/>
    <w:rsid w:val="00F20EF6"/>
    <w:rsid w:val="00F21059"/>
    <w:rsid w:val="00F23323"/>
    <w:rsid w:val="00F2689B"/>
    <w:rsid w:val="00F27CE8"/>
    <w:rsid w:val="00F300C6"/>
    <w:rsid w:val="00F309DB"/>
    <w:rsid w:val="00F364F9"/>
    <w:rsid w:val="00F4024D"/>
    <w:rsid w:val="00F404C8"/>
    <w:rsid w:val="00F419FF"/>
    <w:rsid w:val="00F42E73"/>
    <w:rsid w:val="00F4553A"/>
    <w:rsid w:val="00F47388"/>
    <w:rsid w:val="00F566EB"/>
    <w:rsid w:val="00F573D0"/>
    <w:rsid w:val="00F63474"/>
    <w:rsid w:val="00F649F1"/>
    <w:rsid w:val="00F65587"/>
    <w:rsid w:val="00F66C9D"/>
    <w:rsid w:val="00F70D8A"/>
    <w:rsid w:val="00F71239"/>
    <w:rsid w:val="00F71A87"/>
    <w:rsid w:val="00F71EA5"/>
    <w:rsid w:val="00F720B5"/>
    <w:rsid w:val="00F75B82"/>
    <w:rsid w:val="00F76472"/>
    <w:rsid w:val="00F76664"/>
    <w:rsid w:val="00F7755B"/>
    <w:rsid w:val="00F818C9"/>
    <w:rsid w:val="00F85565"/>
    <w:rsid w:val="00F85E40"/>
    <w:rsid w:val="00F93EB9"/>
    <w:rsid w:val="00FA4590"/>
    <w:rsid w:val="00FA48DF"/>
    <w:rsid w:val="00FA4F38"/>
    <w:rsid w:val="00FA60C3"/>
    <w:rsid w:val="00FB1923"/>
    <w:rsid w:val="00FB7C5F"/>
    <w:rsid w:val="00FC2574"/>
    <w:rsid w:val="00FC30D7"/>
    <w:rsid w:val="00FC3355"/>
    <w:rsid w:val="00FC3FC9"/>
    <w:rsid w:val="00FC63C6"/>
    <w:rsid w:val="00FC6A3F"/>
    <w:rsid w:val="00FD093C"/>
    <w:rsid w:val="00FD7210"/>
    <w:rsid w:val="00FF041D"/>
    <w:rsid w:val="00FF38BE"/>
    <w:rsid w:val="00FF4C8F"/>
    <w:rsid w:val="00FF4D22"/>
    <w:rsid w:val="00FF64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160bd,#1160c6,#115fc7"/>
    </o:shapedefaults>
    <o:shapelayout v:ext="edit">
      <o:idmap v:ext="edit" data="1"/>
    </o:shapelayout>
  </w:shapeDefaults>
  <w:decimalSymbol w:val=","/>
  <w:listSeparator w:val=";"/>
  <w15:chartTrackingRefBased/>
  <w15:docId w15:val="{3DC92E48-7FBE-4C9A-8C44-A8E37E3C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47"/>
    <w:rPr>
      <w:sz w:val="24"/>
      <w:lang w:val="es-ES_tradnl"/>
    </w:rPr>
  </w:style>
  <w:style w:type="paragraph" w:styleId="Ttulo1">
    <w:name w:val="heading 1"/>
    <w:basedOn w:val="Normal"/>
    <w:next w:val="Normal"/>
    <w:link w:val="Ttulo1Car"/>
    <w:qFormat/>
    <w:rsid w:val="008020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semiHidden/>
    <w:unhideWhenUsed/>
    <w:qFormat/>
    <w:rsid w:val="008020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rsid w:val="004F2EAD"/>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6">
    <w:name w:val="heading 6"/>
    <w:basedOn w:val="Normal"/>
    <w:next w:val="Normal"/>
    <w:qFormat/>
    <w:pPr>
      <w:keepNext/>
      <w:spacing w:after="120"/>
      <w:ind w:left="3544"/>
      <w:jc w:val="both"/>
      <w:outlineLvl w:val="5"/>
    </w:pPr>
    <w:rPr>
      <w:rFonts w:ascii="Arial" w:eastAsia="Arial Unicode MS" w:hAnsi="Arial"/>
      <w:b/>
      <w: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3">
    <w:name w:val="Body Text 3"/>
    <w:basedOn w:val="Normal"/>
    <w:pPr>
      <w:ind w:right="638"/>
      <w:jc w:val="both"/>
    </w:pPr>
    <w:rPr>
      <w:rFonts w:ascii="Arial" w:eastAsia="Times New Roman" w:hAnsi="Arial"/>
      <w:b/>
      <w:sz w:val="22"/>
      <w:lang w:val="es-ES"/>
    </w:rPr>
  </w:style>
  <w:style w:type="paragraph" w:styleId="Sangra3detindependiente">
    <w:name w:val="Body Text Indent 3"/>
    <w:basedOn w:val="Normal"/>
    <w:pPr>
      <w:ind w:left="360" w:firstLine="540"/>
      <w:jc w:val="both"/>
    </w:pPr>
    <w:rPr>
      <w:rFonts w:ascii="Gill Sans" w:eastAsia="Times New Roman" w:hAnsi="Gill Sans" w:cs="Arial"/>
      <w:szCs w:val="24"/>
      <w:lang w:val="es-ES"/>
    </w:rPr>
  </w:style>
  <w:style w:type="paragraph" w:styleId="Textodeglobo">
    <w:name w:val="Balloon Text"/>
    <w:basedOn w:val="Normal"/>
    <w:semiHidden/>
    <w:rsid w:val="009D7F91"/>
    <w:rPr>
      <w:rFonts w:ascii="Tahoma" w:hAnsi="Tahoma" w:cs="Tahoma"/>
      <w:sz w:val="16"/>
      <w:szCs w:val="16"/>
    </w:rPr>
  </w:style>
  <w:style w:type="character" w:styleId="Nmerodepgina">
    <w:name w:val="page number"/>
    <w:basedOn w:val="Fuentedeprrafopredeter"/>
    <w:rsid w:val="00F71A87"/>
  </w:style>
  <w:style w:type="paragraph" w:styleId="Textoindependiente">
    <w:name w:val="Body Text"/>
    <w:basedOn w:val="Normal"/>
    <w:link w:val="TextoindependienteCar"/>
    <w:rsid w:val="006B0319"/>
    <w:pPr>
      <w:spacing w:after="120"/>
    </w:pPr>
  </w:style>
  <w:style w:type="paragraph" w:styleId="Mapadeldocumento">
    <w:name w:val="Document Map"/>
    <w:basedOn w:val="Normal"/>
    <w:semiHidden/>
    <w:rsid w:val="00BB3675"/>
    <w:pPr>
      <w:shd w:val="clear" w:color="auto" w:fill="000080"/>
    </w:pPr>
    <w:rPr>
      <w:rFonts w:ascii="Tahoma" w:hAnsi="Tahoma" w:cs="Tahoma"/>
      <w:sz w:val="20"/>
    </w:rPr>
  </w:style>
  <w:style w:type="table" w:styleId="Tablaconcuadrcula">
    <w:name w:val="Table Grid"/>
    <w:basedOn w:val="Tablanormal"/>
    <w:rsid w:val="0028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D13BBF"/>
    <w:rPr>
      <w:rFonts w:ascii="Times New Roman" w:eastAsia="Times New Roman" w:hAnsi="Times New Roman"/>
      <w:sz w:val="20"/>
      <w:lang w:val="es-ES"/>
    </w:rPr>
  </w:style>
  <w:style w:type="character" w:styleId="Refdenotaalpie">
    <w:name w:val="footnote reference"/>
    <w:semiHidden/>
    <w:rsid w:val="00D13BBF"/>
    <w:rPr>
      <w:vertAlign w:val="superscript"/>
    </w:rPr>
  </w:style>
  <w:style w:type="paragraph" w:styleId="Sangra2detindependiente">
    <w:name w:val="Body Text Indent 2"/>
    <w:basedOn w:val="Normal"/>
    <w:link w:val="Sangra2detindependienteCar"/>
    <w:rsid w:val="000445D9"/>
    <w:pPr>
      <w:ind w:firstLine="709"/>
      <w:jc w:val="both"/>
    </w:pPr>
    <w:rPr>
      <w:rFonts w:ascii="Arial" w:eastAsia="Times New Roman" w:hAnsi="Arial"/>
      <w:lang w:val="es-ES"/>
    </w:rPr>
  </w:style>
  <w:style w:type="character" w:customStyle="1" w:styleId="Sangra2detindependienteCar">
    <w:name w:val="Sangría 2 de t. independiente Car"/>
    <w:link w:val="Sangra2detindependiente"/>
    <w:rsid w:val="007A4A78"/>
    <w:rPr>
      <w:rFonts w:ascii="Arial" w:hAnsi="Arial"/>
      <w:sz w:val="24"/>
      <w:lang w:val="es-ES" w:eastAsia="es-ES" w:bidi="ar-SA"/>
    </w:rPr>
  </w:style>
  <w:style w:type="paragraph" w:customStyle="1" w:styleId="Textoindependiente21">
    <w:name w:val="Texto independiente 21"/>
    <w:basedOn w:val="Normal"/>
    <w:rsid w:val="00884BAB"/>
    <w:pPr>
      <w:ind w:firstLine="567"/>
      <w:jc w:val="both"/>
    </w:pPr>
    <w:rPr>
      <w:rFonts w:ascii="Times New Roman" w:eastAsia="Times New Roman" w:hAnsi="Times New Roman"/>
      <w:lang w:val="es-ES"/>
    </w:rPr>
  </w:style>
  <w:style w:type="paragraph" w:styleId="Textodebloque">
    <w:name w:val="Block Text"/>
    <w:basedOn w:val="Normal"/>
    <w:rsid w:val="00B00955"/>
    <w:pPr>
      <w:widowControl w:val="0"/>
      <w:spacing w:before="120"/>
      <w:ind w:left="181" w:right="289" w:firstLine="567"/>
      <w:jc w:val="both"/>
    </w:pPr>
    <w:rPr>
      <w:rFonts w:ascii="Arial" w:eastAsia="Times New Roman" w:hAnsi="Arial"/>
      <w:szCs w:val="24"/>
      <w:lang w:val="es-ES"/>
    </w:rPr>
  </w:style>
  <w:style w:type="character" w:customStyle="1" w:styleId="IAM">
    <w:name w:val="IAM"/>
    <w:semiHidden/>
    <w:rsid w:val="00224413"/>
    <w:rPr>
      <w:rFonts w:ascii="Arial" w:hAnsi="Arial" w:cs="Arial"/>
      <w:color w:val="auto"/>
      <w:sz w:val="20"/>
      <w:szCs w:val="20"/>
    </w:rPr>
  </w:style>
  <w:style w:type="paragraph" w:styleId="NormalWeb">
    <w:name w:val="Normal (Web)"/>
    <w:basedOn w:val="Normal"/>
    <w:rsid w:val="00DD4FAA"/>
    <w:pPr>
      <w:spacing w:before="100" w:beforeAutospacing="1" w:after="100" w:afterAutospacing="1"/>
    </w:pPr>
    <w:rPr>
      <w:rFonts w:ascii="Times New Roman" w:eastAsia="Times New Roman" w:hAnsi="Times New Roman"/>
      <w:szCs w:val="24"/>
      <w:lang w:val="es-ES"/>
    </w:rPr>
  </w:style>
  <w:style w:type="paragraph" w:styleId="Textocomentario">
    <w:name w:val="annotation text"/>
    <w:basedOn w:val="Normal"/>
    <w:link w:val="TextocomentarioCar"/>
    <w:unhideWhenUsed/>
    <w:rsid w:val="00583189"/>
    <w:rPr>
      <w:rFonts w:ascii="Times New Roman" w:eastAsia="Times New Roman" w:hAnsi="Times New Roman"/>
      <w:sz w:val="20"/>
      <w:lang w:val="es-ES"/>
    </w:rPr>
  </w:style>
  <w:style w:type="character" w:customStyle="1" w:styleId="TextocomentarioCar">
    <w:name w:val="Texto comentario Car"/>
    <w:link w:val="Textocomentario"/>
    <w:rsid w:val="00583189"/>
    <w:rPr>
      <w:rFonts w:ascii="Times New Roman" w:eastAsia="Times New Roman" w:hAnsi="Times New Roman"/>
    </w:rPr>
  </w:style>
  <w:style w:type="character" w:styleId="Refdecomentario">
    <w:name w:val="annotation reference"/>
    <w:unhideWhenUsed/>
    <w:rsid w:val="00583189"/>
    <w:rPr>
      <w:sz w:val="16"/>
      <w:szCs w:val="16"/>
    </w:rPr>
  </w:style>
  <w:style w:type="paragraph" w:customStyle="1" w:styleId="texto">
    <w:name w:val="texto"/>
    <w:basedOn w:val="Normal"/>
    <w:rsid w:val="00E965C6"/>
    <w:pPr>
      <w:spacing w:before="40" w:after="100"/>
      <w:ind w:left="40" w:right="40" w:firstLine="300"/>
      <w:jc w:val="both"/>
    </w:pPr>
    <w:rPr>
      <w:rFonts w:ascii="Georgia" w:eastAsia="Times New Roman" w:hAnsi="Georgia"/>
      <w:color w:val="000000"/>
      <w:sz w:val="22"/>
      <w:szCs w:val="22"/>
      <w:lang w:val="es-ES"/>
    </w:rPr>
  </w:style>
  <w:style w:type="paragraph" w:styleId="Sangradetextonormal">
    <w:name w:val="Body Text Indent"/>
    <w:basedOn w:val="Normal"/>
    <w:link w:val="SangradetextonormalCar"/>
    <w:rsid w:val="0002556F"/>
    <w:pPr>
      <w:spacing w:after="120"/>
      <w:ind w:left="283"/>
    </w:pPr>
  </w:style>
  <w:style w:type="character" w:customStyle="1" w:styleId="SangradetextonormalCar">
    <w:name w:val="Sangría de texto normal Car"/>
    <w:link w:val="Sangradetextonormal"/>
    <w:rsid w:val="0002556F"/>
    <w:rPr>
      <w:sz w:val="24"/>
      <w:lang w:val="es-ES_tradnl"/>
    </w:rPr>
  </w:style>
  <w:style w:type="paragraph" w:customStyle="1" w:styleId="art">
    <w:name w:val="art"/>
    <w:basedOn w:val="Normal"/>
    <w:rsid w:val="00BC74F1"/>
    <w:pPr>
      <w:spacing w:before="300"/>
      <w:ind w:left="40" w:right="40"/>
      <w:jc w:val="both"/>
    </w:pPr>
    <w:rPr>
      <w:rFonts w:ascii="Georgia" w:eastAsia="Arial Unicode MS" w:hAnsi="Georgia"/>
      <w:b/>
      <w:bCs/>
      <w:i/>
      <w:iCs/>
      <w:color w:val="000000"/>
      <w:sz w:val="22"/>
      <w:szCs w:val="22"/>
      <w:lang w:val="es-ES"/>
    </w:rPr>
  </w:style>
  <w:style w:type="character" w:customStyle="1" w:styleId="ca">
    <w:name w:val="ca"/>
    <w:rsid w:val="00BC74F1"/>
  </w:style>
  <w:style w:type="paragraph" w:styleId="Prrafodelista">
    <w:name w:val="List Paragraph"/>
    <w:basedOn w:val="Normal"/>
    <w:uiPriority w:val="34"/>
    <w:qFormat/>
    <w:rsid w:val="00F63474"/>
    <w:pPr>
      <w:ind w:left="708"/>
    </w:pPr>
  </w:style>
  <w:style w:type="paragraph" w:styleId="Listaconvietas2">
    <w:name w:val="List Bullet 2"/>
    <w:basedOn w:val="Normal"/>
    <w:rsid w:val="00C6192E"/>
    <w:pPr>
      <w:numPr>
        <w:numId w:val="10"/>
      </w:numPr>
      <w:contextualSpacing/>
    </w:pPr>
  </w:style>
  <w:style w:type="paragraph" w:styleId="Puesto">
    <w:name w:val="Title"/>
    <w:basedOn w:val="Normal"/>
    <w:next w:val="Normal"/>
    <w:link w:val="PuestoCar"/>
    <w:qFormat/>
    <w:rsid w:val="00C6192E"/>
    <w:pPr>
      <w:spacing w:before="240" w:after="60"/>
      <w:jc w:val="center"/>
      <w:outlineLvl w:val="0"/>
    </w:pPr>
    <w:rPr>
      <w:rFonts w:ascii="Calibri Light" w:eastAsia="Times New Roman" w:hAnsi="Calibri Light"/>
      <w:b/>
      <w:bCs/>
      <w:kern w:val="28"/>
      <w:sz w:val="32"/>
      <w:szCs w:val="32"/>
    </w:rPr>
  </w:style>
  <w:style w:type="character" w:customStyle="1" w:styleId="PuestoCar">
    <w:name w:val="Puesto Car"/>
    <w:link w:val="Puesto"/>
    <w:rsid w:val="00C6192E"/>
    <w:rPr>
      <w:rFonts w:ascii="Calibri Light" w:eastAsia="Times New Roman" w:hAnsi="Calibri Light" w:cs="Times New Roman"/>
      <w:b/>
      <w:bCs/>
      <w:kern w:val="28"/>
      <w:sz w:val="32"/>
      <w:szCs w:val="32"/>
      <w:lang w:val="es-ES_tradnl"/>
    </w:rPr>
  </w:style>
  <w:style w:type="paragraph" w:styleId="Textoindependienteprimerasangra">
    <w:name w:val="Body Text First Indent"/>
    <w:basedOn w:val="Textoindependiente"/>
    <w:link w:val="TextoindependienteprimerasangraCar"/>
    <w:rsid w:val="00C6192E"/>
    <w:pPr>
      <w:ind w:firstLine="210"/>
    </w:pPr>
  </w:style>
  <w:style w:type="character" w:customStyle="1" w:styleId="TextoindependienteCar">
    <w:name w:val="Texto independiente Car"/>
    <w:link w:val="Textoindependiente"/>
    <w:rsid w:val="00C6192E"/>
    <w:rPr>
      <w:sz w:val="24"/>
      <w:lang w:val="es-ES_tradnl"/>
    </w:rPr>
  </w:style>
  <w:style w:type="character" w:customStyle="1" w:styleId="TextoindependienteprimerasangraCar">
    <w:name w:val="Texto independiente primera sangría Car"/>
    <w:basedOn w:val="TextoindependienteCar"/>
    <w:link w:val="Textoindependienteprimerasangra"/>
    <w:rsid w:val="00C6192E"/>
    <w:rPr>
      <w:sz w:val="24"/>
      <w:lang w:val="es-ES_tradnl"/>
    </w:rPr>
  </w:style>
  <w:style w:type="paragraph" w:styleId="Textoindependienteprimerasangra2">
    <w:name w:val="Body Text First Indent 2"/>
    <w:basedOn w:val="Sangradetextonormal"/>
    <w:link w:val="Textoindependienteprimerasangra2Car"/>
    <w:rsid w:val="00C6192E"/>
    <w:pPr>
      <w:ind w:firstLine="210"/>
    </w:pPr>
  </w:style>
  <w:style w:type="character" w:customStyle="1" w:styleId="Textoindependienteprimerasangra2Car">
    <w:name w:val="Texto independiente primera sangría 2 Car"/>
    <w:basedOn w:val="SangradetextonormalCar"/>
    <w:link w:val="Textoindependienteprimerasangra2"/>
    <w:rsid w:val="00C6192E"/>
    <w:rPr>
      <w:sz w:val="24"/>
      <w:lang w:val="es-ES_tradnl"/>
    </w:rPr>
  </w:style>
  <w:style w:type="paragraph" w:styleId="Textoindependiente2">
    <w:name w:val="Body Text 2"/>
    <w:basedOn w:val="Normal"/>
    <w:link w:val="Textoindependiente2Car"/>
    <w:rsid w:val="003A7094"/>
    <w:pPr>
      <w:spacing w:after="120" w:line="480" w:lineRule="auto"/>
    </w:pPr>
  </w:style>
  <w:style w:type="character" w:customStyle="1" w:styleId="Textoindependiente2Car">
    <w:name w:val="Texto independiente 2 Car"/>
    <w:link w:val="Textoindependiente2"/>
    <w:rsid w:val="003A7094"/>
    <w:rPr>
      <w:sz w:val="24"/>
      <w:lang w:val="es-ES_tradnl"/>
    </w:rPr>
  </w:style>
  <w:style w:type="character" w:customStyle="1" w:styleId="Ttulo1Car">
    <w:name w:val="Título 1 Car"/>
    <w:basedOn w:val="Fuentedeprrafopredeter"/>
    <w:link w:val="Ttulo1"/>
    <w:rsid w:val="00802037"/>
    <w:rPr>
      <w:rFonts w:asciiTheme="majorHAnsi" w:eastAsiaTheme="majorEastAsia" w:hAnsiTheme="majorHAnsi" w:cstheme="majorBidi"/>
      <w:color w:val="2E74B5" w:themeColor="accent1" w:themeShade="BF"/>
      <w:sz w:val="32"/>
      <w:szCs w:val="32"/>
      <w:lang w:val="es-ES_tradnl"/>
    </w:rPr>
  </w:style>
  <w:style w:type="character" w:customStyle="1" w:styleId="Ttulo2Car">
    <w:name w:val="Título 2 Car"/>
    <w:basedOn w:val="Fuentedeprrafopredeter"/>
    <w:link w:val="Ttulo2"/>
    <w:semiHidden/>
    <w:rsid w:val="00802037"/>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semiHidden/>
    <w:rsid w:val="004F2EAD"/>
    <w:rPr>
      <w:rFonts w:asciiTheme="majorHAnsi" w:eastAsiaTheme="majorEastAsia" w:hAnsiTheme="majorHAnsi" w:cstheme="majorBidi"/>
      <w:color w:val="1F4D78"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0622">
      <w:bodyDiv w:val="1"/>
      <w:marLeft w:val="0"/>
      <w:marRight w:val="0"/>
      <w:marTop w:val="0"/>
      <w:marBottom w:val="0"/>
      <w:divBdr>
        <w:top w:val="none" w:sz="0" w:space="0" w:color="auto"/>
        <w:left w:val="none" w:sz="0" w:space="0" w:color="auto"/>
        <w:bottom w:val="none" w:sz="0" w:space="0" w:color="auto"/>
        <w:right w:val="none" w:sz="0" w:space="0" w:color="auto"/>
      </w:divBdr>
    </w:div>
    <w:div w:id="133111031">
      <w:bodyDiv w:val="1"/>
      <w:marLeft w:val="0"/>
      <w:marRight w:val="0"/>
      <w:marTop w:val="0"/>
      <w:marBottom w:val="0"/>
      <w:divBdr>
        <w:top w:val="none" w:sz="0" w:space="0" w:color="auto"/>
        <w:left w:val="none" w:sz="0" w:space="0" w:color="auto"/>
        <w:bottom w:val="none" w:sz="0" w:space="0" w:color="auto"/>
        <w:right w:val="none" w:sz="0" w:space="0" w:color="auto"/>
      </w:divBdr>
    </w:div>
    <w:div w:id="225185849">
      <w:bodyDiv w:val="1"/>
      <w:marLeft w:val="0"/>
      <w:marRight w:val="0"/>
      <w:marTop w:val="0"/>
      <w:marBottom w:val="0"/>
      <w:divBdr>
        <w:top w:val="none" w:sz="0" w:space="0" w:color="auto"/>
        <w:left w:val="none" w:sz="0" w:space="0" w:color="auto"/>
        <w:bottom w:val="none" w:sz="0" w:space="0" w:color="auto"/>
        <w:right w:val="none" w:sz="0" w:space="0" w:color="auto"/>
      </w:divBdr>
    </w:div>
    <w:div w:id="307516144">
      <w:bodyDiv w:val="1"/>
      <w:marLeft w:val="0"/>
      <w:marRight w:val="0"/>
      <w:marTop w:val="0"/>
      <w:marBottom w:val="0"/>
      <w:divBdr>
        <w:top w:val="none" w:sz="0" w:space="0" w:color="auto"/>
        <w:left w:val="none" w:sz="0" w:space="0" w:color="auto"/>
        <w:bottom w:val="none" w:sz="0" w:space="0" w:color="auto"/>
        <w:right w:val="none" w:sz="0" w:space="0" w:color="auto"/>
      </w:divBdr>
    </w:div>
    <w:div w:id="391463615">
      <w:bodyDiv w:val="1"/>
      <w:marLeft w:val="0"/>
      <w:marRight w:val="0"/>
      <w:marTop w:val="0"/>
      <w:marBottom w:val="0"/>
      <w:divBdr>
        <w:top w:val="none" w:sz="0" w:space="0" w:color="auto"/>
        <w:left w:val="none" w:sz="0" w:space="0" w:color="auto"/>
        <w:bottom w:val="none" w:sz="0" w:space="0" w:color="auto"/>
        <w:right w:val="none" w:sz="0" w:space="0" w:color="auto"/>
      </w:divBdr>
    </w:div>
    <w:div w:id="424805951">
      <w:bodyDiv w:val="1"/>
      <w:marLeft w:val="0"/>
      <w:marRight w:val="0"/>
      <w:marTop w:val="0"/>
      <w:marBottom w:val="0"/>
      <w:divBdr>
        <w:top w:val="none" w:sz="0" w:space="0" w:color="auto"/>
        <w:left w:val="none" w:sz="0" w:space="0" w:color="auto"/>
        <w:bottom w:val="none" w:sz="0" w:space="0" w:color="auto"/>
        <w:right w:val="none" w:sz="0" w:space="0" w:color="auto"/>
      </w:divBdr>
    </w:div>
    <w:div w:id="510335586">
      <w:bodyDiv w:val="1"/>
      <w:marLeft w:val="0"/>
      <w:marRight w:val="0"/>
      <w:marTop w:val="0"/>
      <w:marBottom w:val="0"/>
      <w:divBdr>
        <w:top w:val="none" w:sz="0" w:space="0" w:color="auto"/>
        <w:left w:val="none" w:sz="0" w:space="0" w:color="auto"/>
        <w:bottom w:val="none" w:sz="0" w:space="0" w:color="auto"/>
        <w:right w:val="none" w:sz="0" w:space="0" w:color="auto"/>
      </w:divBdr>
    </w:div>
    <w:div w:id="546533695">
      <w:bodyDiv w:val="1"/>
      <w:marLeft w:val="0"/>
      <w:marRight w:val="0"/>
      <w:marTop w:val="0"/>
      <w:marBottom w:val="0"/>
      <w:divBdr>
        <w:top w:val="none" w:sz="0" w:space="0" w:color="auto"/>
        <w:left w:val="none" w:sz="0" w:space="0" w:color="auto"/>
        <w:bottom w:val="none" w:sz="0" w:space="0" w:color="auto"/>
        <w:right w:val="none" w:sz="0" w:space="0" w:color="auto"/>
      </w:divBdr>
    </w:div>
    <w:div w:id="620457145">
      <w:bodyDiv w:val="1"/>
      <w:marLeft w:val="0"/>
      <w:marRight w:val="0"/>
      <w:marTop w:val="0"/>
      <w:marBottom w:val="0"/>
      <w:divBdr>
        <w:top w:val="none" w:sz="0" w:space="0" w:color="auto"/>
        <w:left w:val="none" w:sz="0" w:space="0" w:color="auto"/>
        <w:bottom w:val="none" w:sz="0" w:space="0" w:color="auto"/>
        <w:right w:val="none" w:sz="0" w:space="0" w:color="auto"/>
      </w:divBdr>
    </w:div>
    <w:div w:id="620498467">
      <w:bodyDiv w:val="1"/>
      <w:marLeft w:val="0"/>
      <w:marRight w:val="0"/>
      <w:marTop w:val="0"/>
      <w:marBottom w:val="0"/>
      <w:divBdr>
        <w:top w:val="none" w:sz="0" w:space="0" w:color="auto"/>
        <w:left w:val="none" w:sz="0" w:space="0" w:color="auto"/>
        <w:bottom w:val="none" w:sz="0" w:space="0" w:color="auto"/>
        <w:right w:val="none" w:sz="0" w:space="0" w:color="auto"/>
      </w:divBdr>
    </w:div>
    <w:div w:id="630786841">
      <w:bodyDiv w:val="1"/>
      <w:marLeft w:val="0"/>
      <w:marRight w:val="0"/>
      <w:marTop w:val="0"/>
      <w:marBottom w:val="0"/>
      <w:divBdr>
        <w:top w:val="none" w:sz="0" w:space="0" w:color="auto"/>
        <w:left w:val="none" w:sz="0" w:space="0" w:color="auto"/>
        <w:bottom w:val="none" w:sz="0" w:space="0" w:color="auto"/>
        <w:right w:val="none" w:sz="0" w:space="0" w:color="auto"/>
      </w:divBdr>
    </w:div>
    <w:div w:id="721442646">
      <w:bodyDiv w:val="1"/>
      <w:marLeft w:val="0"/>
      <w:marRight w:val="0"/>
      <w:marTop w:val="0"/>
      <w:marBottom w:val="0"/>
      <w:divBdr>
        <w:top w:val="none" w:sz="0" w:space="0" w:color="auto"/>
        <w:left w:val="none" w:sz="0" w:space="0" w:color="auto"/>
        <w:bottom w:val="none" w:sz="0" w:space="0" w:color="auto"/>
        <w:right w:val="none" w:sz="0" w:space="0" w:color="auto"/>
      </w:divBdr>
    </w:div>
    <w:div w:id="886376785">
      <w:bodyDiv w:val="1"/>
      <w:marLeft w:val="0"/>
      <w:marRight w:val="0"/>
      <w:marTop w:val="0"/>
      <w:marBottom w:val="0"/>
      <w:divBdr>
        <w:top w:val="none" w:sz="0" w:space="0" w:color="auto"/>
        <w:left w:val="none" w:sz="0" w:space="0" w:color="auto"/>
        <w:bottom w:val="none" w:sz="0" w:space="0" w:color="auto"/>
        <w:right w:val="none" w:sz="0" w:space="0" w:color="auto"/>
      </w:divBdr>
    </w:div>
    <w:div w:id="1005135319">
      <w:bodyDiv w:val="1"/>
      <w:marLeft w:val="0"/>
      <w:marRight w:val="0"/>
      <w:marTop w:val="0"/>
      <w:marBottom w:val="0"/>
      <w:divBdr>
        <w:top w:val="none" w:sz="0" w:space="0" w:color="auto"/>
        <w:left w:val="none" w:sz="0" w:space="0" w:color="auto"/>
        <w:bottom w:val="none" w:sz="0" w:space="0" w:color="auto"/>
        <w:right w:val="none" w:sz="0" w:space="0" w:color="auto"/>
      </w:divBdr>
    </w:div>
    <w:div w:id="1028064028">
      <w:bodyDiv w:val="1"/>
      <w:marLeft w:val="0"/>
      <w:marRight w:val="0"/>
      <w:marTop w:val="0"/>
      <w:marBottom w:val="0"/>
      <w:divBdr>
        <w:top w:val="none" w:sz="0" w:space="0" w:color="auto"/>
        <w:left w:val="none" w:sz="0" w:space="0" w:color="auto"/>
        <w:bottom w:val="none" w:sz="0" w:space="0" w:color="auto"/>
        <w:right w:val="none" w:sz="0" w:space="0" w:color="auto"/>
      </w:divBdr>
    </w:div>
    <w:div w:id="1028945351">
      <w:bodyDiv w:val="1"/>
      <w:marLeft w:val="0"/>
      <w:marRight w:val="0"/>
      <w:marTop w:val="0"/>
      <w:marBottom w:val="0"/>
      <w:divBdr>
        <w:top w:val="none" w:sz="0" w:space="0" w:color="auto"/>
        <w:left w:val="none" w:sz="0" w:space="0" w:color="auto"/>
        <w:bottom w:val="none" w:sz="0" w:space="0" w:color="auto"/>
        <w:right w:val="none" w:sz="0" w:space="0" w:color="auto"/>
      </w:divBdr>
    </w:div>
    <w:div w:id="1079212297">
      <w:bodyDiv w:val="1"/>
      <w:marLeft w:val="0"/>
      <w:marRight w:val="0"/>
      <w:marTop w:val="0"/>
      <w:marBottom w:val="0"/>
      <w:divBdr>
        <w:top w:val="none" w:sz="0" w:space="0" w:color="auto"/>
        <w:left w:val="none" w:sz="0" w:space="0" w:color="auto"/>
        <w:bottom w:val="none" w:sz="0" w:space="0" w:color="auto"/>
        <w:right w:val="none" w:sz="0" w:space="0" w:color="auto"/>
      </w:divBdr>
    </w:div>
    <w:div w:id="1116675976">
      <w:bodyDiv w:val="1"/>
      <w:marLeft w:val="0"/>
      <w:marRight w:val="0"/>
      <w:marTop w:val="0"/>
      <w:marBottom w:val="0"/>
      <w:divBdr>
        <w:top w:val="none" w:sz="0" w:space="0" w:color="auto"/>
        <w:left w:val="none" w:sz="0" w:space="0" w:color="auto"/>
        <w:bottom w:val="none" w:sz="0" w:space="0" w:color="auto"/>
        <w:right w:val="none" w:sz="0" w:space="0" w:color="auto"/>
      </w:divBdr>
    </w:div>
    <w:div w:id="1124734089">
      <w:bodyDiv w:val="1"/>
      <w:marLeft w:val="0"/>
      <w:marRight w:val="0"/>
      <w:marTop w:val="0"/>
      <w:marBottom w:val="0"/>
      <w:divBdr>
        <w:top w:val="none" w:sz="0" w:space="0" w:color="auto"/>
        <w:left w:val="none" w:sz="0" w:space="0" w:color="auto"/>
        <w:bottom w:val="none" w:sz="0" w:space="0" w:color="auto"/>
        <w:right w:val="none" w:sz="0" w:space="0" w:color="auto"/>
      </w:divBdr>
    </w:div>
    <w:div w:id="1140809500">
      <w:bodyDiv w:val="1"/>
      <w:marLeft w:val="0"/>
      <w:marRight w:val="0"/>
      <w:marTop w:val="0"/>
      <w:marBottom w:val="0"/>
      <w:divBdr>
        <w:top w:val="none" w:sz="0" w:space="0" w:color="auto"/>
        <w:left w:val="none" w:sz="0" w:space="0" w:color="auto"/>
        <w:bottom w:val="none" w:sz="0" w:space="0" w:color="auto"/>
        <w:right w:val="none" w:sz="0" w:space="0" w:color="auto"/>
      </w:divBdr>
    </w:div>
    <w:div w:id="1194534886">
      <w:bodyDiv w:val="1"/>
      <w:marLeft w:val="0"/>
      <w:marRight w:val="0"/>
      <w:marTop w:val="0"/>
      <w:marBottom w:val="0"/>
      <w:divBdr>
        <w:top w:val="none" w:sz="0" w:space="0" w:color="auto"/>
        <w:left w:val="none" w:sz="0" w:space="0" w:color="auto"/>
        <w:bottom w:val="none" w:sz="0" w:space="0" w:color="auto"/>
        <w:right w:val="none" w:sz="0" w:space="0" w:color="auto"/>
      </w:divBdr>
    </w:div>
    <w:div w:id="1204098055">
      <w:bodyDiv w:val="1"/>
      <w:marLeft w:val="0"/>
      <w:marRight w:val="0"/>
      <w:marTop w:val="0"/>
      <w:marBottom w:val="0"/>
      <w:divBdr>
        <w:top w:val="none" w:sz="0" w:space="0" w:color="auto"/>
        <w:left w:val="none" w:sz="0" w:space="0" w:color="auto"/>
        <w:bottom w:val="none" w:sz="0" w:space="0" w:color="auto"/>
        <w:right w:val="none" w:sz="0" w:space="0" w:color="auto"/>
      </w:divBdr>
    </w:div>
    <w:div w:id="1205748424">
      <w:bodyDiv w:val="1"/>
      <w:marLeft w:val="0"/>
      <w:marRight w:val="0"/>
      <w:marTop w:val="0"/>
      <w:marBottom w:val="0"/>
      <w:divBdr>
        <w:top w:val="none" w:sz="0" w:space="0" w:color="auto"/>
        <w:left w:val="none" w:sz="0" w:space="0" w:color="auto"/>
        <w:bottom w:val="none" w:sz="0" w:space="0" w:color="auto"/>
        <w:right w:val="none" w:sz="0" w:space="0" w:color="auto"/>
      </w:divBdr>
    </w:div>
    <w:div w:id="1216308690">
      <w:bodyDiv w:val="1"/>
      <w:marLeft w:val="0"/>
      <w:marRight w:val="0"/>
      <w:marTop w:val="0"/>
      <w:marBottom w:val="0"/>
      <w:divBdr>
        <w:top w:val="none" w:sz="0" w:space="0" w:color="auto"/>
        <w:left w:val="none" w:sz="0" w:space="0" w:color="auto"/>
        <w:bottom w:val="none" w:sz="0" w:space="0" w:color="auto"/>
        <w:right w:val="none" w:sz="0" w:space="0" w:color="auto"/>
      </w:divBdr>
    </w:div>
    <w:div w:id="1239747618">
      <w:bodyDiv w:val="1"/>
      <w:marLeft w:val="0"/>
      <w:marRight w:val="0"/>
      <w:marTop w:val="0"/>
      <w:marBottom w:val="0"/>
      <w:divBdr>
        <w:top w:val="none" w:sz="0" w:space="0" w:color="auto"/>
        <w:left w:val="none" w:sz="0" w:space="0" w:color="auto"/>
        <w:bottom w:val="none" w:sz="0" w:space="0" w:color="auto"/>
        <w:right w:val="none" w:sz="0" w:space="0" w:color="auto"/>
      </w:divBdr>
    </w:div>
    <w:div w:id="1271859502">
      <w:bodyDiv w:val="1"/>
      <w:marLeft w:val="0"/>
      <w:marRight w:val="0"/>
      <w:marTop w:val="0"/>
      <w:marBottom w:val="0"/>
      <w:divBdr>
        <w:top w:val="none" w:sz="0" w:space="0" w:color="auto"/>
        <w:left w:val="none" w:sz="0" w:space="0" w:color="auto"/>
        <w:bottom w:val="none" w:sz="0" w:space="0" w:color="auto"/>
        <w:right w:val="none" w:sz="0" w:space="0" w:color="auto"/>
      </w:divBdr>
    </w:div>
    <w:div w:id="1295135868">
      <w:bodyDiv w:val="1"/>
      <w:marLeft w:val="0"/>
      <w:marRight w:val="0"/>
      <w:marTop w:val="0"/>
      <w:marBottom w:val="0"/>
      <w:divBdr>
        <w:top w:val="none" w:sz="0" w:space="0" w:color="auto"/>
        <w:left w:val="none" w:sz="0" w:space="0" w:color="auto"/>
        <w:bottom w:val="none" w:sz="0" w:space="0" w:color="auto"/>
        <w:right w:val="none" w:sz="0" w:space="0" w:color="auto"/>
      </w:divBdr>
    </w:div>
    <w:div w:id="1309046196">
      <w:bodyDiv w:val="1"/>
      <w:marLeft w:val="0"/>
      <w:marRight w:val="0"/>
      <w:marTop w:val="0"/>
      <w:marBottom w:val="0"/>
      <w:divBdr>
        <w:top w:val="none" w:sz="0" w:space="0" w:color="auto"/>
        <w:left w:val="none" w:sz="0" w:space="0" w:color="auto"/>
        <w:bottom w:val="none" w:sz="0" w:space="0" w:color="auto"/>
        <w:right w:val="none" w:sz="0" w:space="0" w:color="auto"/>
      </w:divBdr>
    </w:div>
    <w:div w:id="1432164186">
      <w:bodyDiv w:val="1"/>
      <w:marLeft w:val="0"/>
      <w:marRight w:val="0"/>
      <w:marTop w:val="0"/>
      <w:marBottom w:val="0"/>
      <w:divBdr>
        <w:top w:val="none" w:sz="0" w:space="0" w:color="auto"/>
        <w:left w:val="none" w:sz="0" w:space="0" w:color="auto"/>
        <w:bottom w:val="none" w:sz="0" w:space="0" w:color="auto"/>
        <w:right w:val="none" w:sz="0" w:space="0" w:color="auto"/>
      </w:divBdr>
    </w:div>
    <w:div w:id="1534996479">
      <w:bodyDiv w:val="1"/>
      <w:marLeft w:val="0"/>
      <w:marRight w:val="0"/>
      <w:marTop w:val="0"/>
      <w:marBottom w:val="0"/>
      <w:divBdr>
        <w:top w:val="none" w:sz="0" w:space="0" w:color="auto"/>
        <w:left w:val="none" w:sz="0" w:space="0" w:color="auto"/>
        <w:bottom w:val="none" w:sz="0" w:space="0" w:color="auto"/>
        <w:right w:val="none" w:sz="0" w:space="0" w:color="auto"/>
      </w:divBdr>
    </w:div>
    <w:div w:id="1546792442">
      <w:bodyDiv w:val="1"/>
      <w:marLeft w:val="0"/>
      <w:marRight w:val="0"/>
      <w:marTop w:val="0"/>
      <w:marBottom w:val="0"/>
      <w:divBdr>
        <w:top w:val="none" w:sz="0" w:space="0" w:color="auto"/>
        <w:left w:val="none" w:sz="0" w:space="0" w:color="auto"/>
        <w:bottom w:val="none" w:sz="0" w:space="0" w:color="auto"/>
        <w:right w:val="none" w:sz="0" w:space="0" w:color="auto"/>
      </w:divBdr>
    </w:div>
    <w:div w:id="1550260701">
      <w:bodyDiv w:val="1"/>
      <w:marLeft w:val="0"/>
      <w:marRight w:val="0"/>
      <w:marTop w:val="0"/>
      <w:marBottom w:val="0"/>
      <w:divBdr>
        <w:top w:val="none" w:sz="0" w:space="0" w:color="auto"/>
        <w:left w:val="none" w:sz="0" w:space="0" w:color="auto"/>
        <w:bottom w:val="none" w:sz="0" w:space="0" w:color="auto"/>
        <w:right w:val="none" w:sz="0" w:space="0" w:color="auto"/>
      </w:divBdr>
    </w:div>
    <w:div w:id="1582984839">
      <w:bodyDiv w:val="1"/>
      <w:marLeft w:val="0"/>
      <w:marRight w:val="0"/>
      <w:marTop w:val="0"/>
      <w:marBottom w:val="0"/>
      <w:divBdr>
        <w:top w:val="none" w:sz="0" w:space="0" w:color="auto"/>
        <w:left w:val="none" w:sz="0" w:space="0" w:color="auto"/>
        <w:bottom w:val="none" w:sz="0" w:space="0" w:color="auto"/>
        <w:right w:val="none" w:sz="0" w:space="0" w:color="auto"/>
      </w:divBdr>
    </w:div>
    <w:div w:id="1663239590">
      <w:bodyDiv w:val="1"/>
      <w:marLeft w:val="0"/>
      <w:marRight w:val="0"/>
      <w:marTop w:val="0"/>
      <w:marBottom w:val="0"/>
      <w:divBdr>
        <w:top w:val="none" w:sz="0" w:space="0" w:color="auto"/>
        <w:left w:val="none" w:sz="0" w:space="0" w:color="auto"/>
        <w:bottom w:val="none" w:sz="0" w:space="0" w:color="auto"/>
        <w:right w:val="none" w:sz="0" w:space="0" w:color="auto"/>
      </w:divBdr>
    </w:div>
    <w:div w:id="1681353458">
      <w:bodyDiv w:val="1"/>
      <w:marLeft w:val="0"/>
      <w:marRight w:val="0"/>
      <w:marTop w:val="0"/>
      <w:marBottom w:val="0"/>
      <w:divBdr>
        <w:top w:val="none" w:sz="0" w:space="0" w:color="auto"/>
        <w:left w:val="none" w:sz="0" w:space="0" w:color="auto"/>
        <w:bottom w:val="none" w:sz="0" w:space="0" w:color="auto"/>
        <w:right w:val="none" w:sz="0" w:space="0" w:color="auto"/>
      </w:divBdr>
    </w:div>
    <w:div w:id="1714842069">
      <w:bodyDiv w:val="1"/>
      <w:marLeft w:val="0"/>
      <w:marRight w:val="0"/>
      <w:marTop w:val="0"/>
      <w:marBottom w:val="0"/>
      <w:divBdr>
        <w:top w:val="none" w:sz="0" w:space="0" w:color="auto"/>
        <w:left w:val="none" w:sz="0" w:space="0" w:color="auto"/>
        <w:bottom w:val="none" w:sz="0" w:space="0" w:color="auto"/>
        <w:right w:val="none" w:sz="0" w:space="0" w:color="auto"/>
      </w:divBdr>
    </w:div>
    <w:div w:id="1780560987">
      <w:bodyDiv w:val="1"/>
      <w:marLeft w:val="0"/>
      <w:marRight w:val="0"/>
      <w:marTop w:val="0"/>
      <w:marBottom w:val="0"/>
      <w:divBdr>
        <w:top w:val="none" w:sz="0" w:space="0" w:color="auto"/>
        <w:left w:val="none" w:sz="0" w:space="0" w:color="auto"/>
        <w:bottom w:val="none" w:sz="0" w:space="0" w:color="auto"/>
        <w:right w:val="none" w:sz="0" w:space="0" w:color="auto"/>
      </w:divBdr>
    </w:div>
    <w:div w:id="1858343570">
      <w:bodyDiv w:val="1"/>
      <w:marLeft w:val="0"/>
      <w:marRight w:val="0"/>
      <w:marTop w:val="0"/>
      <w:marBottom w:val="0"/>
      <w:divBdr>
        <w:top w:val="none" w:sz="0" w:space="0" w:color="auto"/>
        <w:left w:val="none" w:sz="0" w:space="0" w:color="auto"/>
        <w:bottom w:val="none" w:sz="0" w:space="0" w:color="auto"/>
        <w:right w:val="none" w:sz="0" w:space="0" w:color="auto"/>
      </w:divBdr>
    </w:div>
    <w:div w:id="1900747531">
      <w:bodyDiv w:val="1"/>
      <w:marLeft w:val="0"/>
      <w:marRight w:val="0"/>
      <w:marTop w:val="0"/>
      <w:marBottom w:val="0"/>
      <w:divBdr>
        <w:top w:val="none" w:sz="0" w:space="0" w:color="auto"/>
        <w:left w:val="none" w:sz="0" w:space="0" w:color="auto"/>
        <w:bottom w:val="none" w:sz="0" w:space="0" w:color="auto"/>
        <w:right w:val="none" w:sz="0" w:space="0" w:color="auto"/>
      </w:divBdr>
    </w:div>
    <w:div w:id="1983272468">
      <w:bodyDiv w:val="1"/>
      <w:marLeft w:val="0"/>
      <w:marRight w:val="0"/>
      <w:marTop w:val="0"/>
      <w:marBottom w:val="0"/>
      <w:divBdr>
        <w:top w:val="none" w:sz="0" w:space="0" w:color="auto"/>
        <w:left w:val="none" w:sz="0" w:space="0" w:color="auto"/>
        <w:bottom w:val="none" w:sz="0" w:space="0" w:color="auto"/>
        <w:right w:val="none" w:sz="0" w:space="0" w:color="auto"/>
      </w:divBdr>
    </w:div>
    <w:div w:id="2011398110">
      <w:bodyDiv w:val="1"/>
      <w:marLeft w:val="0"/>
      <w:marRight w:val="0"/>
      <w:marTop w:val="0"/>
      <w:marBottom w:val="0"/>
      <w:divBdr>
        <w:top w:val="none" w:sz="0" w:space="0" w:color="auto"/>
        <w:left w:val="none" w:sz="0" w:space="0" w:color="auto"/>
        <w:bottom w:val="none" w:sz="0" w:space="0" w:color="auto"/>
        <w:right w:val="none" w:sz="0" w:space="0" w:color="auto"/>
      </w:divBdr>
    </w:div>
    <w:div w:id="2019893035">
      <w:bodyDiv w:val="1"/>
      <w:marLeft w:val="0"/>
      <w:marRight w:val="0"/>
      <w:marTop w:val="0"/>
      <w:marBottom w:val="0"/>
      <w:divBdr>
        <w:top w:val="none" w:sz="0" w:space="0" w:color="auto"/>
        <w:left w:val="none" w:sz="0" w:space="0" w:color="auto"/>
        <w:bottom w:val="none" w:sz="0" w:space="0" w:color="auto"/>
        <w:right w:val="none" w:sz="0" w:space="0" w:color="auto"/>
      </w:divBdr>
    </w:div>
    <w:div w:id="2029480557">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 w:id="2099449090">
      <w:bodyDiv w:val="1"/>
      <w:marLeft w:val="0"/>
      <w:marRight w:val="0"/>
      <w:marTop w:val="0"/>
      <w:marBottom w:val="0"/>
      <w:divBdr>
        <w:top w:val="none" w:sz="0" w:space="0" w:color="auto"/>
        <w:left w:val="none" w:sz="0" w:space="0" w:color="auto"/>
        <w:bottom w:val="none" w:sz="0" w:space="0" w:color="auto"/>
        <w:right w:val="none" w:sz="0" w:space="0" w:color="auto"/>
      </w:divBdr>
    </w:div>
    <w:div w:id="21230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1106</Words>
  <Characters>5981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Esto es una prueba</vt:lpstr>
    </vt:vector>
  </TitlesOfParts>
  <Company>SGSJT</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 es una prueba</dc:title>
  <dc:subject/>
  <dc:creator>JAM</dc:creator>
  <cp:keywords/>
  <cp:lastModifiedBy>Juan Carlos Anquela Mencía</cp:lastModifiedBy>
  <cp:revision>82</cp:revision>
  <cp:lastPrinted>2016-09-30T08:03:00Z</cp:lastPrinted>
  <dcterms:created xsi:type="dcterms:W3CDTF">2016-09-01T14:59:00Z</dcterms:created>
  <dcterms:modified xsi:type="dcterms:W3CDTF">2016-10-07T10:28:00Z</dcterms:modified>
</cp:coreProperties>
</file>